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0C" w:rsidRPr="00BB277F" w:rsidRDefault="00F65F0C" w:rsidP="00F65F0C">
      <w:pPr>
        <w:pStyle w:val="a3"/>
        <w:rPr>
          <w:spacing w:val="0"/>
        </w:rPr>
      </w:pPr>
      <w:r w:rsidRPr="00BB277F">
        <w:rPr>
          <w:rFonts w:ascii="ＭＳ Ｐゴシック" w:eastAsia="ＭＳ Ｐゴシック" w:hAnsi="ＭＳ Ｐゴシック" w:cs="ＭＳ Ｐゴシック" w:hint="eastAsia"/>
        </w:rPr>
        <w:t>（</w:t>
      </w:r>
      <w:r w:rsidR="00BD4A14">
        <w:rPr>
          <w:rFonts w:ascii="ＭＳ Ｐゴシック" w:eastAsia="ＭＳ Ｐゴシック" w:hAnsi="ＭＳ Ｐゴシック" w:cs="ＭＳ Ｐゴシック" w:hint="eastAsia"/>
        </w:rPr>
        <w:t>７</w:t>
      </w:r>
      <w:r w:rsidRPr="00BB277F">
        <w:rPr>
          <w:rFonts w:ascii="ＭＳ Ｐゴシック" w:eastAsia="ＭＳ Ｐゴシック" w:hAnsi="ＭＳ Ｐゴシック" w:cs="ＭＳ Ｐゴシック" w:hint="eastAsia"/>
        </w:rPr>
        <w:t>） 集落協定の</w:t>
      </w:r>
      <w:r w:rsidR="00BD4A14">
        <w:rPr>
          <w:rFonts w:ascii="ＭＳ Ｐゴシック" w:eastAsia="ＭＳ Ｐゴシック" w:hAnsi="ＭＳ Ｐゴシック" w:cs="ＭＳ Ｐゴシック" w:hint="eastAsia"/>
        </w:rPr>
        <w:t>取組内容</w:t>
      </w:r>
    </w:p>
    <w:p w:rsidR="00F65F0C" w:rsidRDefault="00F65F0C" w:rsidP="00F65F0C">
      <w:pPr>
        <w:pStyle w:val="a3"/>
        <w:rPr>
          <w:rFonts w:ascii="ＭＳ 明朝" w:hAnsi="ＭＳ 明朝"/>
        </w:rPr>
      </w:pPr>
      <w:r w:rsidRPr="00BB277F">
        <w:rPr>
          <w:rFonts w:ascii="ＭＳ 明朝" w:hAnsi="ＭＳ 明朝" w:hint="eastAsia"/>
        </w:rPr>
        <w:t xml:space="preserve">　① 農業生産活動等</w:t>
      </w:r>
      <w:r w:rsidR="003303B3">
        <w:rPr>
          <w:rFonts w:ascii="ＭＳ 明朝" w:hAnsi="ＭＳ 明朝" w:hint="eastAsia"/>
        </w:rPr>
        <w:t>として取り組むべき事項</w:t>
      </w:r>
    </w:p>
    <w:p w:rsidR="003303B3" w:rsidRPr="00BB277F" w:rsidRDefault="003303B3" w:rsidP="00F65F0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a）耕作放棄の防止等の活動</w:t>
      </w:r>
    </w:p>
    <w:p w:rsidR="00F65F0C" w:rsidRDefault="00F65F0C" w:rsidP="005A22A4">
      <w:pPr>
        <w:pStyle w:val="a3"/>
        <w:ind w:left="622" w:hangingChars="250" w:hanging="622"/>
        <w:rPr>
          <w:rFonts w:ascii="ＭＳ 明朝" w:hAnsi="ＭＳ 明朝"/>
        </w:rPr>
      </w:pPr>
      <w:r w:rsidRPr="00BB277F">
        <w:rPr>
          <w:rFonts w:ascii="ＭＳ 明朝" w:hAnsi="ＭＳ 明朝" w:hint="eastAsia"/>
        </w:rPr>
        <w:t xml:space="preserve">　　</w:t>
      </w:r>
      <w:r w:rsidR="005655CB">
        <w:rPr>
          <w:rFonts w:ascii="ＭＳ 明朝" w:hAnsi="ＭＳ 明朝" w:hint="eastAsia"/>
        </w:rPr>
        <w:t xml:space="preserve"> </w:t>
      </w:r>
      <w:r w:rsidR="003303B3">
        <w:rPr>
          <w:rFonts w:ascii="ＭＳ 明朝" w:hAnsi="ＭＳ 明朝" w:hint="eastAsia"/>
        </w:rPr>
        <w:t xml:space="preserve">　耕作放棄の防止等の活動</w:t>
      </w:r>
      <w:r w:rsidR="00BD506A">
        <w:rPr>
          <w:rFonts w:ascii="ＭＳ 明朝" w:hAnsi="ＭＳ 明朝" w:hint="eastAsia"/>
        </w:rPr>
        <w:t>としては</w:t>
      </w:r>
      <w:r w:rsidR="00064D74">
        <w:rPr>
          <w:rFonts w:ascii="ＭＳ 明朝" w:hAnsi="ＭＳ 明朝" w:hint="eastAsia"/>
        </w:rPr>
        <w:t>、「</w:t>
      </w:r>
      <w:r w:rsidR="001B5251">
        <w:rPr>
          <w:rFonts w:ascii="ＭＳ 明朝" w:hAnsi="ＭＳ 明朝" w:hint="eastAsia"/>
        </w:rPr>
        <w:t>農地の法面管理</w:t>
      </w:r>
      <w:r w:rsidR="00064D74" w:rsidRPr="003303B3">
        <w:rPr>
          <w:rFonts w:ascii="ＭＳ 明朝" w:hAnsi="ＭＳ 明朝" w:hint="eastAsia"/>
          <w:spacing w:val="0"/>
        </w:rPr>
        <w:t>」が</w:t>
      </w:r>
      <w:r w:rsidR="00BF7F35" w:rsidRPr="003303B3">
        <w:rPr>
          <w:rFonts w:ascii="ＭＳ 明朝" w:hAnsi="ＭＳ 明朝" w:hint="eastAsia"/>
          <w:spacing w:val="0"/>
        </w:rPr>
        <w:t>1,</w:t>
      </w:r>
      <w:r w:rsidR="00347EA7">
        <w:rPr>
          <w:rFonts w:ascii="ＭＳ 明朝" w:hAnsi="ＭＳ 明朝" w:hint="eastAsia"/>
          <w:spacing w:val="0"/>
        </w:rPr>
        <w:t>0</w:t>
      </w:r>
      <w:r w:rsidR="00EC3B83">
        <w:rPr>
          <w:rFonts w:ascii="ＭＳ 明朝" w:hAnsi="ＭＳ 明朝" w:hint="eastAsia"/>
          <w:spacing w:val="0"/>
        </w:rPr>
        <w:t>42</w:t>
      </w:r>
      <w:r w:rsidR="00064D74" w:rsidRPr="003303B3">
        <w:rPr>
          <w:rFonts w:ascii="ＭＳ 明朝" w:hAnsi="ＭＳ 明朝" w:hint="eastAsia"/>
          <w:spacing w:val="0"/>
        </w:rPr>
        <w:t>協定</w:t>
      </w:r>
      <w:r w:rsidR="005655CB" w:rsidRPr="003303B3">
        <w:rPr>
          <w:rFonts w:ascii="ＭＳ 明朝" w:hAnsi="ＭＳ 明朝" w:hint="eastAsia"/>
          <w:spacing w:val="0"/>
        </w:rPr>
        <w:t>（</w:t>
      </w:r>
      <w:r w:rsidR="00777350">
        <w:rPr>
          <w:rFonts w:ascii="ＭＳ 明朝" w:hAnsi="ＭＳ 明朝" w:hint="eastAsia"/>
          <w:spacing w:val="0"/>
        </w:rPr>
        <w:t>79.6</w:t>
      </w:r>
      <w:r w:rsidR="005655CB" w:rsidRPr="003303B3">
        <w:rPr>
          <w:rFonts w:ascii="ＭＳ 明朝" w:hAnsi="ＭＳ 明朝" w:hint="eastAsia"/>
          <w:spacing w:val="0"/>
        </w:rPr>
        <w:t>％</w:t>
      </w:r>
      <w:r w:rsidR="00064D74" w:rsidRPr="003303B3">
        <w:rPr>
          <w:rFonts w:ascii="ＭＳ 明朝" w:hAnsi="ＭＳ 明朝" w:hint="eastAsia"/>
          <w:spacing w:val="0"/>
        </w:rPr>
        <w:t>）</w:t>
      </w:r>
      <w:r w:rsidR="00BD506A">
        <w:rPr>
          <w:rFonts w:ascii="ＭＳ 明朝" w:hAnsi="ＭＳ 明朝" w:hint="eastAsia"/>
          <w:spacing w:val="0"/>
        </w:rPr>
        <w:t>と最も多く</w:t>
      </w:r>
      <w:r w:rsidR="0001368F" w:rsidRPr="003303B3">
        <w:rPr>
          <w:rFonts w:ascii="ＭＳ 明朝" w:hAnsi="ＭＳ 明朝" w:hint="eastAsia"/>
          <w:spacing w:val="0"/>
        </w:rPr>
        <w:t>、次いで</w:t>
      </w:r>
      <w:r w:rsidR="00064D74" w:rsidRPr="003303B3">
        <w:rPr>
          <w:rFonts w:ascii="ＭＳ 明朝" w:hAnsi="ＭＳ 明朝" w:hint="eastAsia"/>
          <w:spacing w:val="0"/>
        </w:rPr>
        <w:t>「</w:t>
      </w:r>
      <w:r w:rsidR="001B5251" w:rsidRPr="001B5251">
        <w:rPr>
          <w:rFonts w:ascii="ＭＳ 明朝" w:hAnsi="ＭＳ 明朝" w:hint="eastAsia"/>
          <w:spacing w:val="0"/>
        </w:rPr>
        <w:t>柵、ネットの設置等鳥獣被害防止</w:t>
      </w:r>
      <w:r w:rsidR="00064D74" w:rsidRPr="003303B3">
        <w:rPr>
          <w:rFonts w:ascii="ＭＳ 明朝" w:hAnsi="ＭＳ 明朝" w:hint="eastAsia"/>
          <w:spacing w:val="0"/>
        </w:rPr>
        <w:t>」</w:t>
      </w:r>
      <w:r w:rsidR="00B64A9B">
        <w:rPr>
          <w:rFonts w:ascii="ＭＳ 明朝" w:hAnsi="ＭＳ 明朝" w:hint="eastAsia"/>
          <w:spacing w:val="0"/>
        </w:rPr>
        <w:t>6</w:t>
      </w:r>
      <w:r w:rsidR="00777350">
        <w:rPr>
          <w:rFonts w:ascii="ＭＳ 明朝" w:hAnsi="ＭＳ 明朝" w:hint="eastAsia"/>
          <w:spacing w:val="0"/>
        </w:rPr>
        <w:t>77</w:t>
      </w:r>
      <w:r w:rsidR="00064D74" w:rsidRPr="003303B3">
        <w:rPr>
          <w:rFonts w:ascii="ＭＳ 明朝" w:hAnsi="ＭＳ 明朝" w:hint="eastAsia"/>
          <w:spacing w:val="0"/>
        </w:rPr>
        <w:t>協定</w:t>
      </w:r>
      <w:r w:rsidR="00064D74">
        <w:rPr>
          <w:rFonts w:ascii="ＭＳ 明朝" w:hAnsi="ＭＳ 明朝" w:hint="eastAsia"/>
        </w:rPr>
        <w:t>（</w:t>
      </w:r>
      <w:r w:rsidR="00EC3B83">
        <w:rPr>
          <w:rFonts w:ascii="ＭＳ 明朝" w:hAnsi="ＭＳ 明朝" w:hint="eastAsia"/>
        </w:rPr>
        <w:t>5</w:t>
      </w:r>
      <w:r w:rsidR="00777350">
        <w:rPr>
          <w:rFonts w:ascii="ＭＳ 明朝" w:hAnsi="ＭＳ 明朝" w:hint="eastAsia"/>
        </w:rPr>
        <w:t>1.7</w:t>
      </w:r>
      <w:r w:rsidR="00064D74">
        <w:rPr>
          <w:rFonts w:ascii="ＭＳ 明朝" w:hAnsi="ＭＳ 明朝" w:hint="eastAsia"/>
        </w:rPr>
        <w:t>％）、「</w:t>
      </w:r>
      <w:r w:rsidR="001B5251" w:rsidRPr="001B5251">
        <w:rPr>
          <w:rFonts w:ascii="ＭＳ 明朝" w:hAnsi="ＭＳ 明朝" w:hint="eastAsia"/>
        </w:rPr>
        <w:t>賃借権設定・農作業の委託</w:t>
      </w:r>
      <w:r w:rsidR="00064D74">
        <w:rPr>
          <w:rFonts w:ascii="ＭＳ 明朝" w:hAnsi="ＭＳ 明朝" w:hint="eastAsia"/>
        </w:rPr>
        <w:t>」</w:t>
      </w:r>
      <w:r w:rsidR="00B64A9B">
        <w:rPr>
          <w:rFonts w:ascii="ＭＳ 明朝" w:hAnsi="ＭＳ 明朝" w:hint="eastAsia"/>
        </w:rPr>
        <w:t>3</w:t>
      </w:r>
      <w:r w:rsidR="00777350">
        <w:rPr>
          <w:rFonts w:ascii="ＭＳ 明朝" w:hAnsi="ＭＳ 明朝" w:hint="eastAsia"/>
        </w:rPr>
        <w:t>65</w:t>
      </w:r>
      <w:r w:rsidRPr="00BB277F">
        <w:rPr>
          <w:rFonts w:ascii="ＭＳ 明朝" w:hAnsi="ＭＳ 明朝" w:hint="eastAsia"/>
        </w:rPr>
        <w:t>協定（</w:t>
      </w:r>
      <w:r w:rsidR="00777350">
        <w:rPr>
          <w:rFonts w:ascii="ＭＳ 明朝" w:hAnsi="ＭＳ 明朝" w:hint="eastAsia"/>
        </w:rPr>
        <w:t>27</w:t>
      </w:r>
      <w:r w:rsidR="005A22A4">
        <w:rPr>
          <w:rFonts w:ascii="ＭＳ 明朝" w:hAnsi="ＭＳ 明朝" w:hint="eastAsia"/>
        </w:rPr>
        <w:t>.</w:t>
      </w:r>
      <w:r w:rsidR="00777350">
        <w:rPr>
          <w:rFonts w:ascii="ＭＳ 明朝" w:hAnsi="ＭＳ 明朝" w:hint="eastAsia"/>
        </w:rPr>
        <w:t>9</w:t>
      </w:r>
      <w:r w:rsidRPr="00BB277F">
        <w:rPr>
          <w:rFonts w:ascii="ＭＳ 明朝" w:hAnsi="ＭＳ 明朝" w:hint="eastAsia"/>
        </w:rPr>
        <w:t>％）となっている</w:t>
      </w:r>
      <w:r w:rsidR="0001368F">
        <w:rPr>
          <w:rFonts w:ascii="ＭＳ 明朝" w:hAnsi="ＭＳ 明朝" w:hint="eastAsia"/>
        </w:rPr>
        <w:t>。</w:t>
      </w:r>
      <w:r w:rsidRPr="00BB277F">
        <w:rPr>
          <w:rFonts w:ascii="ＭＳ 明朝" w:hAnsi="ＭＳ 明朝" w:hint="eastAsia"/>
        </w:rPr>
        <w:t>（</w:t>
      </w:r>
      <w:r w:rsidR="00BF7F35">
        <w:rPr>
          <w:rFonts w:ascii="ＭＳ 明朝" w:hAnsi="ＭＳ 明朝" w:hint="eastAsia"/>
        </w:rPr>
        <w:t>複数選択可、</w:t>
      </w:r>
      <w:r w:rsidRPr="00BB277F">
        <w:rPr>
          <w:rFonts w:ascii="ＭＳ 明朝" w:hAnsi="ＭＳ 明朝" w:hint="eastAsia"/>
        </w:rPr>
        <w:t>図</w:t>
      </w:r>
      <w:r w:rsidR="00BF7F35">
        <w:rPr>
          <w:rFonts w:ascii="ＭＳ 明朝" w:hAnsi="ＭＳ 明朝" w:hint="eastAsia"/>
        </w:rPr>
        <w:t>1</w:t>
      </w:r>
      <w:r w:rsidR="004A233E">
        <w:rPr>
          <w:rFonts w:ascii="ＭＳ 明朝" w:hAnsi="ＭＳ 明朝" w:hint="eastAsia"/>
        </w:rPr>
        <w:t>7</w:t>
      </w:r>
      <w:r w:rsidRPr="00BB277F">
        <w:rPr>
          <w:rFonts w:ascii="ＭＳ 明朝" w:hAnsi="ＭＳ 明朝" w:hint="eastAsia"/>
        </w:rPr>
        <w:t>）</w:t>
      </w:r>
      <w:r w:rsidR="00BF7F35">
        <w:rPr>
          <w:rFonts w:ascii="ＭＳ 明朝" w:hAnsi="ＭＳ 明朝" w:hint="eastAsia"/>
        </w:rPr>
        <w:t>。</w:t>
      </w:r>
    </w:p>
    <w:p w:rsidR="005A22A4" w:rsidRDefault="00C35EED" w:rsidP="00A60EE7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hint="eastAsia"/>
          <w:spacing w:val="0"/>
        </w:rPr>
        <w:t xml:space="preserve">　</w:t>
      </w:r>
      <w:r w:rsidR="001B5251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35560</wp:posOffset>
            </wp:positionV>
            <wp:extent cx="5759450" cy="3229610"/>
            <wp:effectExtent l="0" t="0" r="0" b="8890"/>
            <wp:wrapTopAndBottom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0CC" w:rsidRDefault="00DD6238" w:rsidP="006830CC">
      <w:pPr>
        <w:pStyle w:val="a3"/>
        <w:spacing w:line="240" w:lineRule="auto"/>
        <w:ind w:firstLineChars="200" w:firstLine="477"/>
        <w:rPr>
          <w:spacing w:val="0"/>
        </w:rPr>
      </w:pPr>
      <w:r w:rsidRPr="00DD6238">
        <w:rPr>
          <w:rFonts w:asciiTheme="minorEastAsia" w:eastAsiaTheme="minorEastAsia" w:hAnsiTheme="minorEastAsia" w:hint="eastAsia"/>
          <w:spacing w:val="0"/>
        </w:rPr>
        <w:t>b</w:t>
      </w:r>
      <w:r w:rsidR="003303B3">
        <w:rPr>
          <w:rFonts w:hint="eastAsia"/>
          <w:spacing w:val="0"/>
        </w:rPr>
        <w:t>）水路・農道等の管理活動</w:t>
      </w:r>
    </w:p>
    <w:p w:rsidR="00315E85" w:rsidRPr="005A22A4" w:rsidRDefault="00A60EE7" w:rsidP="005A22A4">
      <w:pPr>
        <w:pStyle w:val="a3"/>
        <w:spacing w:line="240" w:lineRule="auto"/>
        <w:ind w:left="477" w:hangingChars="200" w:hanging="477"/>
        <w:rPr>
          <w:rFonts w:asciiTheme="minorEastAsia" w:eastAsiaTheme="minorEastAsia" w:hAnsiTheme="minorEastAsia"/>
          <w:spacing w:val="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504190</wp:posOffset>
            </wp:positionV>
            <wp:extent cx="5435600" cy="2601595"/>
            <wp:effectExtent l="0" t="0" r="0" b="8255"/>
            <wp:wrapTopAndBottom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3B3">
        <w:rPr>
          <w:rFonts w:hint="eastAsia"/>
          <w:spacing w:val="0"/>
        </w:rPr>
        <w:t xml:space="preserve">　　　「農道の管理」は</w:t>
      </w:r>
      <w:r w:rsidR="00347EA7">
        <w:rPr>
          <w:rFonts w:asciiTheme="minorEastAsia" w:eastAsiaTheme="minorEastAsia" w:hAnsiTheme="minorEastAsia" w:hint="eastAsia"/>
          <w:spacing w:val="0"/>
        </w:rPr>
        <w:t>1,</w:t>
      </w:r>
      <w:r w:rsidR="00315E85">
        <w:rPr>
          <w:rFonts w:asciiTheme="minorEastAsia" w:eastAsiaTheme="minorEastAsia" w:hAnsiTheme="minorEastAsia" w:hint="eastAsia"/>
          <w:spacing w:val="0"/>
        </w:rPr>
        <w:t>2</w:t>
      </w:r>
      <w:r w:rsidR="00135AF2">
        <w:rPr>
          <w:rFonts w:asciiTheme="minorEastAsia" w:eastAsiaTheme="minorEastAsia" w:hAnsiTheme="minorEastAsia" w:hint="eastAsia"/>
          <w:spacing w:val="0"/>
        </w:rPr>
        <w:t>84</w:t>
      </w:r>
      <w:r w:rsidR="003303B3" w:rsidRPr="003303B3">
        <w:rPr>
          <w:rFonts w:asciiTheme="minorEastAsia" w:eastAsiaTheme="minorEastAsia" w:hAnsiTheme="minorEastAsia" w:hint="eastAsia"/>
          <w:spacing w:val="0"/>
        </w:rPr>
        <w:t>協定</w:t>
      </w:r>
      <w:r w:rsidR="00BD506A">
        <w:rPr>
          <w:rFonts w:asciiTheme="minorEastAsia" w:eastAsiaTheme="minorEastAsia" w:hAnsiTheme="minorEastAsia" w:hint="eastAsia"/>
          <w:spacing w:val="0"/>
        </w:rPr>
        <w:t>（</w:t>
      </w:r>
      <w:r w:rsidR="00347EA7">
        <w:rPr>
          <w:rFonts w:asciiTheme="minorEastAsia" w:eastAsiaTheme="minorEastAsia" w:hAnsiTheme="minorEastAsia" w:hint="eastAsia"/>
          <w:spacing w:val="0"/>
        </w:rPr>
        <w:t>9</w:t>
      </w:r>
      <w:r w:rsidR="00135AF2">
        <w:rPr>
          <w:rFonts w:asciiTheme="minorEastAsia" w:eastAsiaTheme="minorEastAsia" w:hAnsiTheme="minorEastAsia" w:hint="eastAsia"/>
          <w:spacing w:val="0"/>
        </w:rPr>
        <w:t>8</w:t>
      </w:r>
      <w:r w:rsidR="005A22A4">
        <w:rPr>
          <w:rFonts w:asciiTheme="minorEastAsia" w:eastAsiaTheme="minorEastAsia" w:hAnsiTheme="minorEastAsia" w:hint="eastAsia"/>
          <w:spacing w:val="0"/>
        </w:rPr>
        <w:t>.</w:t>
      </w:r>
      <w:r w:rsidR="00135AF2">
        <w:rPr>
          <w:rFonts w:asciiTheme="minorEastAsia" w:eastAsiaTheme="minorEastAsia" w:hAnsiTheme="minorEastAsia" w:hint="eastAsia"/>
          <w:spacing w:val="0"/>
        </w:rPr>
        <w:t>1</w:t>
      </w:r>
      <w:r w:rsidR="00BD506A">
        <w:rPr>
          <w:rFonts w:asciiTheme="minorEastAsia" w:eastAsiaTheme="minorEastAsia" w:hAnsiTheme="minorEastAsia" w:hint="eastAsia"/>
          <w:spacing w:val="0"/>
        </w:rPr>
        <w:t>％）</w:t>
      </w:r>
      <w:r w:rsidR="003303B3" w:rsidRPr="003303B3">
        <w:rPr>
          <w:rFonts w:asciiTheme="minorEastAsia" w:eastAsiaTheme="minorEastAsia" w:hAnsiTheme="minorEastAsia" w:hint="eastAsia"/>
          <w:spacing w:val="0"/>
        </w:rPr>
        <w:t>、「水路の管理」</w:t>
      </w:r>
      <w:r w:rsidR="003303B3">
        <w:rPr>
          <w:rFonts w:asciiTheme="minorEastAsia" w:eastAsiaTheme="minorEastAsia" w:hAnsiTheme="minorEastAsia" w:hint="eastAsia"/>
          <w:spacing w:val="0"/>
        </w:rPr>
        <w:t>は</w:t>
      </w:r>
      <w:r w:rsidR="00347EA7">
        <w:rPr>
          <w:rFonts w:asciiTheme="minorEastAsia" w:eastAsiaTheme="minorEastAsia" w:hAnsiTheme="minorEastAsia" w:hint="eastAsia"/>
          <w:spacing w:val="0"/>
        </w:rPr>
        <w:t>1,1</w:t>
      </w:r>
      <w:r>
        <w:rPr>
          <w:rFonts w:asciiTheme="minorEastAsia" w:eastAsiaTheme="minorEastAsia" w:hAnsiTheme="minorEastAsia" w:hint="eastAsia"/>
          <w:spacing w:val="0"/>
        </w:rPr>
        <w:t>5</w:t>
      </w:r>
      <w:r w:rsidR="00135AF2">
        <w:rPr>
          <w:rFonts w:asciiTheme="minorEastAsia" w:eastAsiaTheme="minorEastAsia" w:hAnsiTheme="minorEastAsia" w:hint="eastAsia"/>
          <w:spacing w:val="0"/>
        </w:rPr>
        <w:t>6</w:t>
      </w:r>
      <w:r w:rsidR="003303B3" w:rsidRPr="003303B3">
        <w:rPr>
          <w:rFonts w:asciiTheme="minorEastAsia" w:eastAsiaTheme="minorEastAsia" w:hAnsiTheme="minorEastAsia" w:hint="eastAsia"/>
          <w:spacing w:val="0"/>
        </w:rPr>
        <w:t>協</w:t>
      </w:r>
      <w:r w:rsidR="003303B3">
        <w:rPr>
          <w:rFonts w:hint="eastAsia"/>
          <w:spacing w:val="0"/>
        </w:rPr>
        <w:t>定</w:t>
      </w:r>
      <w:r w:rsidR="00BD506A">
        <w:rPr>
          <w:rFonts w:hint="eastAsia"/>
          <w:spacing w:val="0"/>
        </w:rPr>
        <w:t>（</w:t>
      </w:r>
      <w:r w:rsidR="00315E85">
        <w:rPr>
          <w:rFonts w:asciiTheme="minorEastAsia" w:eastAsiaTheme="minorEastAsia" w:hAnsiTheme="minorEastAsia" w:hint="eastAsia"/>
          <w:spacing w:val="0"/>
        </w:rPr>
        <w:t>8</w:t>
      </w:r>
      <w:r w:rsidR="006830CC">
        <w:rPr>
          <w:rFonts w:asciiTheme="minorEastAsia" w:eastAsiaTheme="minorEastAsia" w:hAnsiTheme="minorEastAsia" w:hint="eastAsia"/>
          <w:spacing w:val="0"/>
        </w:rPr>
        <w:t>8</w:t>
      </w:r>
      <w:r w:rsidR="00315E85">
        <w:rPr>
          <w:rFonts w:asciiTheme="minorEastAsia" w:eastAsiaTheme="minorEastAsia" w:hAnsiTheme="minorEastAsia" w:hint="eastAsia"/>
          <w:spacing w:val="0"/>
        </w:rPr>
        <w:t>.</w:t>
      </w:r>
      <w:r w:rsidR="00135AF2">
        <w:rPr>
          <w:rFonts w:asciiTheme="minorEastAsia" w:eastAsiaTheme="minorEastAsia" w:hAnsiTheme="minorEastAsia" w:hint="eastAsia"/>
          <w:spacing w:val="0"/>
        </w:rPr>
        <w:t>3</w:t>
      </w:r>
      <w:r w:rsidR="00BD506A">
        <w:rPr>
          <w:rFonts w:hint="eastAsia"/>
          <w:spacing w:val="0"/>
        </w:rPr>
        <w:t>％）で</w:t>
      </w:r>
      <w:r w:rsidR="000D7554">
        <w:rPr>
          <w:rFonts w:hint="eastAsia"/>
          <w:spacing w:val="0"/>
        </w:rPr>
        <w:t>あ</w:t>
      </w:r>
      <w:r w:rsidR="003303B3">
        <w:rPr>
          <w:rFonts w:hint="eastAsia"/>
          <w:spacing w:val="0"/>
        </w:rPr>
        <w:t>る（複数選択可、</w:t>
      </w:r>
      <w:r w:rsidR="003303B3" w:rsidRPr="003303B3">
        <w:rPr>
          <w:rFonts w:asciiTheme="minorEastAsia" w:eastAsiaTheme="minorEastAsia" w:hAnsiTheme="minorEastAsia" w:hint="eastAsia"/>
          <w:spacing w:val="0"/>
        </w:rPr>
        <w:t>図1</w:t>
      </w:r>
      <w:r w:rsidR="004A233E">
        <w:rPr>
          <w:rFonts w:asciiTheme="minorEastAsia" w:eastAsiaTheme="minorEastAsia" w:hAnsiTheme="minorEastAsia" w:hint="eastAsia"/>
          <w:spacing w:val="0"/>
        </w:rPr>
        <w:t>8</w:t>
      </w:r>
      <w:r w:rsidR="003303B3" w:rsidRPr="003303B3">
        <w:rPr>
          <w:rFonts w:asciiTheme="minorEastAsia" w:eastAsiaTheme="minorEastAsia" w:hAnsiTheme="minorEastAsia" w:hint="eastAsia"/>
          <w:spacing w:val="0"/>
        </w:rPr>
        <w:t>）</w:t>
      </w:r>
      <w:r w:rsidR="003303B3">
        <w:rPr>
          <w:rFonts w:hint="eastAsia"/>
          <w:spacing w:val="0"/>
        </w:rPr>
        <w:t>。</w:t>
      </w:r>
      <w:r w:rsidR="00315E85">
        <w:rPr>
          <w:spacing w:val="0"/>
        </w:rPr>
        <w:br w:type="page"/>
      </w:r>
    </w:p>
    <w:p w:rsidR="00D46536" w:rsidRDefault="00D46536" w:rsidP="00D46536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 xml:space="preserve">　②　多面的機能を増進する活動</w:t>
      </w:r>
    </w:p>
    <w:p w:rsidR="00F65F0C" w:rsidRPr="00BB277F" w:rsidRDefault="00A60EE7" w:rsidP="003D55C2">
      <w:pPr>
        <w:pStyle w:val="a3"/>
        <w:ind w:leftChars="200" w:left="477" w:firstLineChars="98" w:firstLine="234"/>
        <w:jc w:val="left"/>
        <w:rPr>
          <w:spacing w:val="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50368</wp:posOffset>
            </wp:positionH>
            <wp:positionV relativeFrom="paragraph">
              <wp:posOffset>1144448</wp:posOffset>
            </wp:positionV>
            <wp:extent cx="5759450" cy="2578735"/>
            <wp:effectExtent l="0" t="0" r="0" b="0"/>
            <wp:wrapTopAndBottom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CB" w:rsidRPr="005655CB">
        <w:rPr>
          <w:rFonts w:ascii="ＭＳ 明朝" w:hAnsi="ＭＳ 明朝" w:hint="eastAsia"/>
          <w:spacing w:val="0"/>
        </w:rPr>
        <w:t>多面</w:t>
      </w:r>
      <w:r w:rsidR="00F65F0C" w:rsidRPr="005655CB">
        <w:rPr>
          <w:rFonts w:ascii="ＭＳ 明朝" w:hAnsi="ＭＳ 明朝" w:hint="eastAsia"/>
          <w:spacing w:val="0"/>
        </w:rPr>
        <w:t>的</w:t>
      </w:r>
      <w:r w:rsidR="00064D74" w:rsidRPr="005655CB">
        <w:rPr>
          <w:rFonts w:ascii="ＭＳ 明朝" w:hAnsi="ＭＳ 明朝" w:hint="eastAsia"/>
          <w:spacing w:val="0"/>
        </w:rPr>
        <w:t>機能を増進する活動としては、「周辺林地の下草刈</w:t>
      </w:r>
      <w:r w:rsidR="00DD6238">
        <w:rPr>
          <w:rFonts w:ascii="ＭＳ 明朝" w:hAnsi="ＭＳ 明朝" w:hint="eastAsia"/>
          <w:spacing w:val="0"/>
        </w:rPr>
        <w:t>り</w:t>
      </w:r>
      <w:r w:rsidR="00064D74" w:rsidRPr="005655CB">
        <w:rPr>
          <w:rFonts w:ascii="ＭＳ 明朝" w:hAnsi="ＭＳ 明朝" w:hint="eastAsia"/>
          <w:spacing w:val="0"/>
        </w:rPr>
        <w:t>」が最も多く</w:t>
      </w:r>
      <w:r w:rsidR="00135AF2">
        <w:rPr>
          <w:rFonts w:ascii="ＭＳ 明朝" w:hAnsi="ＭＳ 明朝" w:hint="eastAsia"/>
          <w:spacing w:val="0"/>
        </w:rPr>
        <w:t>811</w:t>
      </w:r>
      <w:r w:rsidR="00DD6238">
        <w:rPr>
          <w:rFonts w:ascii="ＭＳ 明朝" w:hAnsi="ＭＳ 明朝" w:hint="eastAsia"/>
          <w:spacing w:val="0"/>
        </w:rPr>
        <w:t>協定</w:t>
      </w:r>
      <w:r w:rsidR="00064D74">
        <w:rPr>
          <w:rFonts w:ascii="ＭＳ 明朝" w:hAnsi="ＭＳ 明朝" w:hint="eastAsia"/>
        </w:rPr>
        <w:t>（</w:t>
      </w:r>
      <w:r w:rsidR="00135AF2">
        <w:rPr>
          <w:rFonts w:ascii="ＭＳ 明朝" w:hAnsi="ＭＳ 明朝" w:hint="eastAsia"/>
        </w:rPr>
        <w:t>62.0</w:t>
      </w:r>
      <w:r w:rsidR="00064D74">
        <w:rPr>
          <w:rFonts w:ascii="ＭＳ 明朝" w:hAnsi="ＭＳ 明朝" w:hint="eastAsia"/>
        </w:rPr>
        <w:t>％）、次いで「景観作物の作付け」が</w:t>
      </w:r>
      <w:r w:rsidR="00135AF2">
        <w:rPr>
          <w:rFonts w:ascii="ＭＳ 明朝" w:hAnsi="ＭＳ 明朝" w:hint="eastAsia"/>
        </w:rPr>
        <w:t>398</w:t>
      </w:r>
      <w:r w:rsidR="00064D74">
        <w:rPr>
          <w:rFonts w:ascii="ＭＳ 明朝" w:hAnsi="ＭＳ 明朝" w:hint="eastAsia"/>
        </w:rPr>
        <w:t>協定（</w:t>
      </w:r>
      <w:r w:rsidR="003D55C2">
        <w:rPr>
          <w:rFonts w:ascii="ＭＳ 明朝" w:hAnsi="ＭＳ 明朝" w:hint="eastAsia"/>
        </w:rPr>
        <w:t>30.</w:t>
      </w:r>
      <w:r w:rsidR="00135AF2">
        <w:rPr>
          <w:rFonts w:ascii="ＭＳ 明朝" w:hAnsi="ＭＳ 明朝" w:hint="eastAsia"/>
        </w:rPr>
        <w:t>4</w:t>
      </w:r>
      <w:r w:rsidR="00064D74">
        <w:rPr>
          <w:rFonts w:ascii="ＭＳ 明朝" w:hAnsi="ＭＳ 明朝" w:hint="eastAsia"/>
        </w:rPr>
        <w:t>％）、「</w:t>
      </w:r>
      <w:r w:rsidR="003D55C2" w:rsidRPr="003D55C2">
        <w:rPr>
          <w:rFonts w:ascii="ＭＳ 明朝" w:hAnsi="ＭＳ 明朝" w:hint="eastAsia"/>
        </w:rPr>
        <w:t>堆きゅう肥の施肥、拮抗作物の利用、合鴨・鯉の利用、輪作の徹底、緑肥作物の作付</w:t>
      </w:r>
      <w:r w:rsidR="00064D74">
        <w:rPr>
          <w:rFonts w:ascii="ＭＳ 明朝" w:hAnsi="ＭＳ 明朝" w:hint="eastAsia"/>
        </w:rPr>
        <w:t>」が</w:t>
      </w:r>
      <w:r w:rsidR="00135AF2">
        <w:rPr>
          <w:rFonts w:ascii="ＭＳ 明朝" w:hAnsi="ＭＳ 明朝" w:hint="eastAsia"/>
        </w:rPr>
        <w:t>230</w:t>
      </w:r>
      <w:r w:rsidR="00064D74">
        <w:rPr>
          <w:rFonts w:ascii="ＭＳ 明朝" w:hAnsi="ＭＳ 明朝" w:hint="eastAsia"/>
        </w:rPr>
        <w:t>協定（</w:t>
      </w:r>
      <w:r w:rsidR="00135AF2">
        <w:rPr>
          <w:rFonts w:ascii="ＭＳ 明朝" w:hAnsi="ＭＳ 明朝" w:hint="eastAsia"/>
        </w:rPr>
        <w:t>17</w:t>
      </w:r>
      <w:r w:rsidR="003D55C2">
        <w:rPr>
          <w:rFonts w:ascii="ＭＳ 明朝" w:hAnsi="ＭＳ 明朝" w:hint="eastAsia"/>
        </w:rPr>
        <w:t>.</w:t>
      </w:r>
      <w:r w:rsidR="00135AF2">
        <w:rPr>
          <w:rFonts w:ascii="ＭＳ 明朝" w:hAnsi="ＭＳ 明朝" w:hint="eastAsia"/>
        </w:rPr>
        <w:t>6</w:t>
      </w:r>
      <w:r w:rsidR="00F65F0C" w:rsidRPr="00BB277F">
        <w:rPr>
          <w:rFonts w:ascii="ＭＳ 明朝" w:hAnsi="ＭＳ 明朝" w:hint="eastAsia"/>
        </w:rPr>
        <w:t>％）となっている（</w:t>
      </w:r>
      <w:r w:rsidR="00BF7F35">
        <w:rPr>
          <w:rFonts w:ascii="ＭＳ 明朝" w:hAnsi="ＭＳ 明朝" w:hint="eastAsia"/>
        </w:rPr>
        <w:t>複数選択可、</w:t>
      </w:r>
      <w:r w:rsidR="00F65F0C" w:rsidRPr="00BB277F">
        <w:rPr>
          <w:rFonts w:ascii="ＭＳ 明朝" w:hAnsi="ＭＳ 明朝" w:hint="eastAsia"/>
        </w:rPr>
        <w:t>図</w:t>
      </w:r>
      <w:r w:rsidR="00BF7F35">
        <w:rPr>
          <w:rFonts w:ascii="ＭＳ 明朝" w:hAnsi="ＭＳ 明朝" w:hint="eastAsia"/>
        </w:rPr>
        <w:t>1</w:t>
      </w:r>
      <w:r w:rsidR="004A233E">
        <w:rPr>
          <w:rFonts w:ascii="ＭＳ 明朝" w:hAnsi="ＭＳ 明朝" w:hint="eastAsia"/>
        </w:rPr>
        <w:t>9</w:t>
      </w:r>
      <w:r w:rsidR="00F65F0C" w:rsidRPr="00BB277F">
        <w:rPr>
          <w:rFonts w:ascii="ＭＳ 明朝" w:hAnsi="ＭＳ 明朝" w:hint="eastAsia"/>
        </w:rPr>
        <w:t>）</w:t>
      </w:r>
      <w:r w:rsidR="00BF7F35">
        <w:rPr>
          <w:rFonts w:ascii="ＭＳ 明朝" w:hAnsi="ＭＳ 明朝" w:hint="eastAsia"/>
        </w:rPr>
        <w:t>。</w:t>
      </w:r>
    </w:p>
    <w:p w:rsidR="00F65F0C" w:rsidRDefault="00F65F0C" w:rsidP="00F65F0C">
      <w:pPr>
        <w:ind w:left="239" w:hangingChars="100" w:hanging="239"/>
        <w:jc w:val="center"/>
      </w:pPr>
    </w:p>
    <w:p w:rsidR="003D55C2" w:rsidRPr="00BB277F" w:rsidRDefault="003D55C2" w:rsidP="00F65F0C">
      <w:pPr>
        <w:ind w:left="239" w:hangingChars="100" w:hanging="239"/>
        <w:jc w:val="center"/>
      </w:pPr>
    </w:p>
    <w:p w:rsidR="00F65F0C" w:rsidRPr="00BB277F" w:rsidRDefault="00F65F0C" w:rsidP="00F65F0C">
      <w:pPr>
        <w:pStyle w:val="a3"/>
        <w:ind w:firstLineChars="100" w:firstLine="249"/>
        <w:rPr>
          <w:spacing w:val="0"/>
        </w:rPr>
      </w:pPr>
      <w:r w:rsidRPr="00BB277F">
        <w:rPr>
          <w:rFonts w:ascii="ＭＳ 明朝" w:hAnsi="ＭＳ 明朝" w:hint="eastAsia"/>
        </w:rPr>
        <w:t>③ 集落マスタープランにおける集落の</w:t>
      </w:r>
      <w:r w:rsidR="00FA1B35">
        <w:rPr>
          <w:rFonts w:ascii="ＭＳ 明朝" w:hAnsi="ＭＳ 明朝" w:hint="eastAsia"/>
        </w:rPr>
        <w:t>目指すべき</w:t>
      </w:r>
      <w:r w:rsidRPr="00BB277F">
        <w:rPr>
          <w:rFonts w:ascii="ＭＳ 明朝" w:hAnsi="ＭＳ 明朝" w:hint="eastAsia"/>
        </w:rPr>
        <w:t>将来像</w:t>
      </w:r>
    </w:p>
    <w:p w:rsidR="002C514C" w:rsidRDefault="00F65F0C" w:rsidP="00B84888">
      <w:pPr>
        <w:pStyle w:val="a3"/>
        <w:ind w:left="373" w:hangingChars="150" w:hanging="373"/>
        <w:rPr>
          <w:rFonts w:asciiTheme="minorEastAsia" w:eastAsiaTheme="minorEastAsia" w:hAnsiTheme="minorEastAsia"/>
        </w:rPr>
      </w:pPr>
      <w:r w:rsidRPr="00BB277F">
        <w:rPr>
          <w:rFonts w:ascii="ＭＳ 明朝" w:hAnsi="ＭＳ 明朝" w:hint="eastAsia"/>
        </w:rPr>
        <w:t xml:space="preserve">　　</w:t>
      </w:r>
      <w:r w:rsidR="007725C8">
        <w:rPr>
          <w:rFonts w:ascii="ＭＳ 明朝" w:hAnsi="ＭＳ 明朝" w:hint="eastAsia"/>
        </w:rPr>
        <w:t xml:space="preserve"> </w:t>
      </w:r>
      <w:r w:rsidRPr="00A42901">
        <w:rPr>
          <w:rFonts w:asciiTheme="minorEastAsia" w:eastAsiaTheme="minorEastAsia" w:hAnsiTheme="minorEastAsia" w:hint="eastAsia"/>
        </w:rPr>
        <w:t>集落マスタープランにおける集落の</w:t>
      </w:r>
      <w:r w:rsidR="00FA1B35">
        <w:rPr>
          <w:rFonts w:asciiTheme="minorEastAsia" w:eastAsiaTheme="minorEastAsia" w:hAnsiTheme="minorEastAsia" w:hint="eastAsia"/>
        </w:rPr>
        <w:t>目指すべき</w:t>
      </w:r>
      <w:r w:rsidRPr="00A42901">
        <w:rPr>
          <w:rFonts w:asciiTheme="minorEastAsia" w:eastAsiaTheme="minorEastAsia" w:hAnsiTheme="minorEastAsia" w:hint="eastAsia"/>
        </w:rPr>
        <w:t>将来像としては</w:t>
      </w:r>
      <w:r w:rsidR="00BF7F35">
        <w:rPr>
          <w:rFonts w:asciiTheme="minorEastAsia" w:eastAsiaTheme="minorEastAsia" w:hAnsiTheme="minorEastAsia" w:hint="eastAsia"/>
        </w:rPr>
        <w:t>、</w:t>
      </w:r>
      <w:r w:rsidRPr="00A42901">
        <w:rPr>
          <w:rFonts w:asciiTheme="minorEastAsia" w:eastAsiaTheme="minorEastAsia" w:hAnsiTheme="minorEastAsia" w:hint="eastAsia"/>
        </w:rPr>
        <w:t>「</w:t>
      </w:r>
      <w:r w:rsidR="007725C8">
        <w:rPr>
          <w:rFonts w:asciiTheme="minorEastAsia" w:eastAsiaTheme="minorEastAsia" w:hAnsiTheme="minorEastAsia" w:hint="eastAsia"/>
        </w:rPr>
        <w:t>将来にわたり農業生産活動等が可能となる集落内の実施体制構築</w:t>
      </w:r>
      <w:r w:rsidRPr="00A42901">
        <w:rPr>
          <w:rFonts w:asciiTheme="minorEastAsia" w:eastAsiaTheme="minorEastAsia" w:hAnsiTheme="minorEastAsia" w:hint="eastAsia"/>
        </w:rPr>
        <w:t>」が</w:t>
      </w:r>
      <w:r w:rsidR="00961103">
        <w:rPr>
          <w:rFonts w:asciiTheme="minorEastAsia" w:eastAsiaTheme="minorEastAsia" w:hAnsiTheme="minorEastAsia" w:hint="eastAsia"/>
        </w:rPr>
        <w:t>1,1</w:t>
      </w:r>
      <w:r w:rsidR="00135AF2">
        <w:rPr>
          <w:rFonts w:asciiTheme="minorEastAsia" w:eastAsiaTheme="minorEastAsia" w:hAnsiTheme="minorEastAsia" w:hint="eastAsia"/>
        </w:rPr>
        <w:t>56</w:t>
      </w:r>
      <w:r w:rsidRPr="00A42901">
        <w:rPr>
          <w:rFonts w:asciiTheme="minorEastAsia" w:eastAsiaTheme="minorEastAsia" w:hAnsiTheme="minorEastAsia" w:hint="eastAsia"/>
        </w:rPr>
        <w:t>協定</w:t>
      </w:r>
      <w:r w:rsidR="00BD506A">
        <w:rPr>
          <w:rFonts w:asciiTheme="minorEastAsia" w:eastAsiaTheme="minorEastAsia" w:hAnsiTheme="minorEastAsia" w:hint="eastAsia"/>
        </w:rPr>
        <w:t>（</w:t>
      </w:r>
      <w:r w:rsidR="00135AF2">
        <w:rPr>
          <w:rFonts w:asciiTheme="minorEastAsia" w:eastAsiaTheme="minorEastAsia" w:hAnsiTheme="minorEastAsia" w:hint="eastAsia"/>
        </w:rPr>
        <w:t>88</w:t>
      </w:r>
      <w:r w:rsidR="003D55C2">
        <w:rPr>
          <w:rFonts w:asciiTheme="minorEastAsia" w:eastAsiaTheme="minorEastAsia" w:hAnsiTheme="minorEastAsia" w:hint="eastAsia"/>
        </w:rPr>
        <w:t>.</w:t>
      </w:r>
      <w:r w:rsidR="00135AF2">
        <w:rPr>
          <w:rFonts w:asciiTheme="minorEastAsia" w:eastAsiaTheme="minorEastAsia" w:hAnsiTheme="minorEastAsia" w:hint="eastAsia"/>
        </w:rPr>
        <w:t>3</w:t>
      </w:r>
      <w:r w:rsidR="00BD506A">
        <w:rPr>
          <w:rFonts w:asciiTheme="minorEastAsia" w:eastAsiaTheme="minorEastAsia" w:hAnsiTheme="minorEastAsia" w:hint="eastAsia"/>
        </w:rPr>
        <w:t>％）</w:t>
      </w:r>
      <w:r w:rsidRPr="00A42901">
        <w:rPr>
          <w:rFonts w:asciiTheme="minorEastAsia" w:eastAsiaTheme="minorEastAsia" w:hAnsiTheme="minorEastAsia" w:hint="eastAsia"/>
        </w:rPr>
        <w:t>と最も多く、</w:t>
      </w:r>
      <w:r w:rsidR="00BD506A">
        <w:rPr>
          <w:rFonts w:asciiTheme="minorEastAsia" w:eastAsiaTheme="minorEastAsia" w:hAnsiTheme="minorEastAsia" w:hint="eastAsia"/>
        </w:rPr>
        <w:t>次いで</w:t>
      </w:r>
      <w:r w:rsidRPr="00A42901">
        <w:rPr>
          <w:rFonts w:asciiTheme="minorEastAsia" w:eastAsiaTheme="minorEastAsia" w:hAnsiTheme="minorEastAsia" w:hint="eastAsia"/>
        </w:rPr>
        <w:t>「</w:t>
      </w:r>
      <w:r w:rsidR="007725C8">
        <w:rPr>
          <w:rFonts w:asciiTheme="minorEastAsia" w:eastAsiaTheme="minorEastAsia" w:hAnsiTheme="minorEastAsia" w:hint="eastAsia"/>
        </w:rPr>
        <w:t>協定の担い手となる新たな人材の育成・確保</w:t>
      </w:r>
      <w:r w:rsidRPr="00A42901">
        <w:rPr>
          <w:rFonts w:asciiTheme="minorEastAsia" w:eastAsiaTheme="minorEastAsia" w:hAnsiTheme="minorEastAsia" w:hint="eastAsia"/>
        </w:rPr>
        <w:t>」</w:t>
      </w:r>
      <w:r w:rsidR="00135AF2">
        <w:rPr>
          <w:rFonts w:asciiTheme="minorEastAsia" w:eastAsiaTheme="minorEastAsia" w:hAnsiTheme="minorEastAsia" w:hint="eastAsia"/>
        </w:rPr>
        <w:t>193</w:t>
      </w:r>
      <w:r w:rsidR="00BD506A">
        <w:rPr>
          <w:rFonts w:asciiTheme="minorEastAsia" w:eastAsiaTheme="minorEastAsia" w:hAnsiTheme="minorEastAsia" w:hint="eastAsia"/>
        </w:rPr>
        <w:t>協定（</w:t>
      </w:r>
      <w:r w:rsidR="00E04DD4">
        <w:rPr>
          <w:rFonts w:asciiTheme="minorEastAsia" w:eastAsiaTheme="minorEastAsia" w:hAnsiTheme="minorEastAsia" w:hint="eastAsia"/>
        </w:rPr>
        <w:t>1</w:t>
      </w:r>
      <w:r w:rsidR="00135AF2">
        <w:rPr>
          <w:rFonts w:asciiTheme="minorEastAsia" w:eastAsiaTheme="minorEastAsia" w:hAnsiTheme="minorEastAsia" w:hint="eastAsia"/>
        </w:rPr>
        <w:t>4.7</w:t>
      </w:r>
      <w:r w:rsidR="00BD506A">
        <w:rPr>
          <w:rFonts w:asciiTheme="minorEastAsia" w:eastAsiaTheme="minorEastAsia" w:hAnsiTheme="minorEastAsia" w:hint="eastAsia"/>
        </w:rPr>
        <w:t>％）</w:t>
      </w:r>
      <w:r w:rsidRPr="00BF7F35">
        <w:rPr>
          <w:rFonts w:asciiTheme="minorEastAsia" w:eastAsiaTheme="minorEastAsia" w:hAnsiTheme="minorEastAsia" w:hint="eastAsia"/>
          <w:spacing w:val="0"/>
        </w:rPr>
        <w:t>と</w:t>
      </w:r>
      <w:r w:rsidR="00BD506A">
        <w:rPr>
          <w:rFonts w:asciiTheme="minorEastAsia" w:eastAsiaTheme="minorEastAsia" w:hAnsiTheme="minorEastAsia" w:hint="eastAsia"/>
          <w:spacing w:val="0"/>
        </w:rPr>
        <w:t>なって</w:t>
      </w:r>
      <w:r w:rsidRPr="00BF7F35">
        <w:rPr>
          <w:rFonts w:asciiTheme="minorEastAsia" w:eastAsiaTheme="minorEastAsia" w:hAnsiTheme="minorEastAsia" w:hint="eastAsia"/>
          <w:spacing w:val="0"/>
        </w:rPr>
        <w:t>いる（</w:t>
      </w:r>
      <w:r w:rsidR="00D4593C">
        <w:rPr>
          <w:rFonts w:asciiTheme="minorEastAsia" w:eastAsiaTheme="minorEastAsia" w:hAnsiTheme="minorEastAsia" w:hint="eastAsia"/>
          <w:spacing w:val="0"/>
        </w:rPr>
        <w:t>複数選択可、</w:t>
      </w:r>
      <w:r w:rsidRPr="00BF7F35">
        <w:rPr>
          <w:rFonts w:asciiTheme="minorEastAsia" w:eastAsiaTheme="minorEastAsia" w:hAnsiTheme="minorEastAsia" w:hint="eastAsia"/>
          <w:spacing w:val="0"/>
        </w:rPr>
        <w:t>図</w:t>
      </w:r>
      <w:r w:rsidR="004A233E">
        <w:rPr>
          <w:rFonts w:asciiTheme="minorEastAsia" w:eastAsiaTheme="minorEastAsia" w:hAnsiTheme="minorEastAsia" w:hint="eastAsia"/>
          <w:spacing w:val="0"/>
        </w:rPr>
        <w:t>20</w:t>
      </w:r>
      <w:r w:rsidRPr="00A42901">
        <w:rPr>
          <w:rFonts w:asciiTheme="minorEastAsia" w:eastAsiaTheme="minorEastAsia" w:hAnsiTheme="minorEastAsia" w:hint="eastAsia"/>
        </w:rPr>
        <w:t>）</w:t>
      </w:r>
      <w:r w:rsidR="00BF7F35">
        <w:rPr>
          <w:rFonts w:asciiTheme="minorEastAsia" w:eastAsiaTheme="minorEastAsia" w:hAnsiTheme="minorEastAsia" w:hint="eastAsia"/>
        </w:rPr>
        <w:t>。</w:t>
      </w:r>
    </w:p>
    <w:p w:rsidR="00B41475" w:rsidRDefault="00B41475" w:rsidP="00B41475">
      <w:pPr>
        <w:pStyle w:val="a3"/>
        <w:ind w:left="358" w:hangingChars="150" w:hanging="358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236245</wp:posOffset>
            </wp:positionV>
            <wp:extent cx="5153025" cy="2128520"/>
            <wp:effectExtent l="0" t="0" r="0" b="5080"/>
            <wp:wrapTopAndBottom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</w:rPr>
        <w:t xml:space="preserve">　</w:t>
      </w:r>
    </w:p>
    <w:p w:rsidR="00B41475" w:rsidRDefault="00B41475">
      <w:pPr>
        <w:widowControl/>
        <w:jc w:val="left"/>
        <w:rPr>
          <w:rFonts w:asciiTheme="minorEastAsia" w:eastAsiaTheme="minorEastAsia" w:hAnsiTheme="minorEastAsia" w:cs="ＭＳ 明朝"/>
          <w:spacing w:val="5"/>
          <w:kern w:val="0"/>
          <w:szCs w:val="24"/>
        </w:rPr>
      </w:pPr>
      <w:r>
        <w:rPr>
          <w:rFonts w:asciiTheme="minorEastAsia" w:eastAsiaTheme="minorEastAsia" w:hAnsiTheme="minorEastAsia"/>
        </w:rPr>
        <w:br w:type="page"/>
      </w:r>
    </w:p>
    <w:p w:rsidR="00BD4A14" w:rsidRPr="00BB277F" w:rsidRDefault="00BD4A14" w:rsidP="00B41475">
      <w:pPr>
        <w:pStyle w:val="a3"/>
        <w:ind w:left="373" w:hangingChars="150" w:hanging="373"/>
        <w:rPr>
          <w:spacing w:val="0"/>
        </w:rPr>
      </w:pPr>
      <w:r w:rsidRPr="00BB277F">
        <w:rPr>
          <w:rFonts w:ascii="ＭＳ 明朝" w:hAnsi="ＭＳ 明朝" w:hint="eastAsia"/>
        </w:rPr>
        <w:lastRenderedPageBreak/>
        <w:t xml:space="preserve">　</w:t>
      </w:r>
      <w:r>
        <w:rPr>
          <w:rFonts w:ascii="ＭＳ 明朝" w:hAnsi="ＭＳ 明朝" w:hint="eastAsia"/>
        </w:rPr>
        <w:t>④</w:t>
      </w:r>
      <w:r w:rsidRPr="00BB277F">
        <w:rPr>
          <w:rFonts w:ascii="ＭＳ 明朝" w:hAnsi="ＭＳ 明朝" w:hint="eastAsia"/>
        </w:rPr>
        <w:t xml:space="preserve"> 農業生産活動等の体制整備</w:t>
      </w:r>
      <w:r>
        <w:rPr>
          <w:rFonts w:ascii="ＭＳ 明朝" w:hAnsi="ＭＳ 明朝" w:hint="eastAsia"/>
        </w:rPr>
        <w:t>のための取組活動</w:t>
      </w:r>
    </w:p>
    <w:p w:rsidR="00BD4A14" w:rsidRPr="000134ED" w:rsidRDefault="008F4085" w:rsidP="00BD4A14">
      <w:pPr>
        <w:pStyle w:val="a3"/>
        <w:ind w:left="358" w:hangingChars="150" w:hanging="358"/>
        <w:rPr>
          <w:spacing w:val="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1101090</wp:posOffset>
            </wp:positionV>
            <wp:extent cx="4362450" cy="3209925"/>
            <wp:effectExtent l="0" t="0" r="0" b="0"/>
            <wp:wrapTopAndBottom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BD4A14" w:rsidRPr="00BB277F">
        <w:rPr>
          <w:rFonts w:ascii="ＭＳ 明朝" w:hAnsi="ＭＳ 明朝" w:hint="eastAsia"/>
        </w:rPr>
        <w:t xml:space="preserve">　　</w:t>
      </w:r>
      <w:r w:rsidR="00BD4A14">
        <w:rPr>
          <w:rFonts w:ascii="ＭＳ 明朝" w:hAnsi="ＭＳ 明朝" w:hint="eastAsia"/>
        </w:rPr>
        <w:t xml:space="preserve"> 集落協定における</w:t>
      </w:r>
      <w:r w:rsidR="00073563" w:rsidRPr="00073563">
        <w:rPr>
          <w:rFonts w:ascii="ＭＳ 明朝" w:hAnsi="ＭＳ 明朝" w:hint="eastAsia"/>
        </w:rPr>
        <w:t>農業生産活動等の体制整備として取り組むべき事項</w:t>
      </w:r>
      <w:r w:rsidR="00073563">
        <w:rPr>
          <w:rFonts w:ascii="ＭＳ 明朝" w:hAnsi="ＭＳ 明朝" w:hint="eastAsia"/>
        </w:rPr>
        <w:t>は</w:t>
      </w:r>
      <w:r w:rsidR="00BD4A14">
        <w:rPr>
          <w:rFonts w:ascii="ＭＳ 明朝" w:hAnsi="ＭＳ 明朝" w:hint="eastAsia"/>
        </w:rPr>
        <w:t>、</w:t>
      </w:r>
      <w:r w:rsidR="00272175">
        <w:rPr>
          <w:rFonts w:ascii="ＭＳ 明朝" w:hAnsi="ＭＳ 明朝" w:hint="eastAsia"/>
        </w:rPr>
        <w:t>第５期対策では、「集落戦略の作成」が要件となっている。</w:t>
      </w:r>
      <w:r w:rsidR="00BD4A14">
        <w:rPr>
          <w:rFonts w:ascii="ＭＳ 明朝" w:hAnsi="ＭＳ 明朝" w:hint="eastAsia"/>
        </w:rPr>
        <w:t>体制整備単価に取り組む</w:t>
      </w:r>
      <w:r w:rsidR="006953AB">
        <w:rPr>
          <w:rFonts w:ascii="ＭＳ 明朝" w:hAnsi="ＭＳ 明朝" w:hint="eastAsia"/>
        </w:rPr>
        <w:t>集落協定は</w:t>
      </w:r>
      <w:r w:rsidR="00073563">
        <w:rPr>
          <w:rFonts w:ascii="ＭＳ 明朝" w:hAnsi="ＭＳ 明朝" w:hint="eastAsia"/>
        </w:rPr>
        <w:t>9</w:t>
      </w:r>
      <w:r w:rsidR="00272175">
        <w:rPr>
          <w:rFonts w:ascii="ＭＳ 明朝" w:hAnsi="ＭＳ 明朝" w:hint="eastAsia"/>
        </w:rPr>
        <w:t>8</w:t>
      </w:r>
      <w:r w:rsidR="00135AF2">
        <w:rPr>
          <w:rFonts w:ascii="ＭＳ 明朝" w:hAnsi="ＭＳ 明朝" w:hint="eastAsia"/>
        </w:rPr>
        <w:t>9</w:t>
      </w:r>
      <w:r w:rsidR="00BD4A14">
        <w:rPr>
          <w:rFonts w:ascii="ＭＳ 明朝" w:hAnsi="ＭＳ 明朝" w:hint="eastAsia"/>
        </w:rPr>
        <w:t>協定</w:t>
      </w:r>
      <w:r w:rsidR="00272175">
        <w:rPr>
          <w:rFonts w:ascii="ＭＳ 明朝" w:hAnsi="ＭＳ 明朝" w:hint="eastAsia"/>
        </w:rPr>
        <w:t>あり、</w:t>
      </w:r>
      <w:r>
        <w:rPr>
          <w:rFonts w:ascii="ＭＳ 明朝" w:hAnsi="ＭＳ 明朝" w:hint="eastAsia"/>
        </w:rPr>
        <w:t>すべての協定が</w:t>
      </w:r>
      <w:r w:rsidR="00272175">
        <w:rPr>
          <w:rFonts w:ascii="ＭＳ 明朝" w:hAnsi="ＭＳ 明朝" w:hint="eastAsia"/>
        </w:rPr>
        <w:t>「要件を</w:t>
      </w:r>
      <w:r w:rsidR="006830CC">
        <w:rPr>
          <w:rFonts w:ascii="ＭＳ 明朝" w:hAnsi="ＭＳ 明朝" w:hint="eastAsia"/>
        </w:rPr>
        <w:t>全て</w:t>
      </w:r>
      <w:r>
        <w:rPr>
          <w:rFonts w:ascii="ＭＳ 明朝" w:hAnsi="ＭＳ 明朝" w:hint="eastAsia"/>
        </w:rPr>
        <w:t>満たす集落戦略が市町村に提出済み」</w:t>
      </w:r>
      <w:r w:rsidR="00073563">
        <w:rPr>
          <w:rFonts w:ascii="ＭＳ 明朝" w:hAnsi="ＭＳ 明朝" w:hint="eastAsia"/>
        </w:rPr>
        <w:t>であった</w:t>
      </w:r>
      <w:r w:rsidR="006830CC">
        <w:rPr>
          <w:rFonts w:ascii="ＭＳ 明朝" w:hAnsi="ＭＳ 明朝" w:hint="eastAsia"/>
        </w:rPr>
        <w:t>（図21）</w:t>
      </w:r>
      <w:r w:rsidR="00BD4A14">
        <w:rPr>
          <w:rFonts w:ascii="ＭＳ 明朝" w:hAnsi="ＭＳ 明朝" w:hint="eastAsia"/>
        </w:rPr>
        <w:t>。</w:t>
      </w:r>
    </w:p>
    <w:p w:rsidR="00B64D14" w:rsidRDefault="00BD4A14" w:rsidP="00BD4A14">
      <w:pPr>
        <w:pStyle w:val="a3"/>
        <w:ind w:left="249" w:hangingChars="100" w:hanging="249"/>
        <w:rPr>
          <w:rFonts w:ascii="ＭＳ 明朝" w:hAnsi="ＭＳ 明朝"/>
        </w:rPr>
      </w:pPr>
      <w:r w:rsidRPr="00BB277F">
        <w:rPr>
          <w:rFonts w:ascii="ＭＳ 明朝" w:hAnsi="ＭＳ 明朝" w:hint="eastAsia"/>
        </w:rPr>
        <w:t xml:space="preserve">　　</w:t>
      </w:r>
    </w:p>
    <w:p w:rsidR="00B64D14" w:rsidRDefault="00B64D14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Cs w:val="24"/>
        </w:rPr>
      </w:pPr>
      <w:r>
        <w:rPr>
          <w:rFonts w:ascii="ＭＳ 明朝" w:hAnsi="ＭＳ 明朝"/>
        </w:rPr>
        <w:br w:type="page"/>
      </w:r>
    </w:p>
    <w:p w:rsidR="00BD4A14" w:rsidRPr="00BB277F" w:rsidRDefault="00BD4A14" w:rsidP="00BD4A14">
      <w:pPr>
        <w:pStyle w:val="a3"/>
        <w:ind w:left="249" w:hangingChars="100" w:hanging="249"/>
      </w:pPr>
    </w:p>
    <w:p w:rsidR="00BD4A14" w:rsidRPr="00BB277F" w:rsidRDefault="00BD4A14" w:rsidP="00BD4A14">
      <w:pPr>
        <w:pStyle w:val="a3"/>
        <w:ind w:firstLineChars="100" w:firstLine="249"/>
        <w:rPr>
          <w:spacing w:val="0"/>
        </w:rPr>
      </w:pPr>
      <w:r>
        <w:rPr>
          <w:rFonts w:ascii="ＭＳ 明朝" w:hAnsi="ＭＳ 明朝" w:hint="eastAsia"/>
        </w:rPr>
        <w:t>⑤</w:t>
      </w:r>
      <w:r w:rsidRPr="00BB277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交付金の</w:t>
      </w:r>
      <w:r w:rsidR="00BD506A">
        <w:rPr>
          <w:rFonts w:ascii="ＭＳ 明朝" w:hAnsi="ＭＳ 明朝" w:hint="eastAsia"/>
        </w:rPr>
        <w:t>配分割合</w:t>
      </w:r>
    </w:p>
    <w:p w:rsidR="00BD4A14" w:rsidRPr="001D0E66" w:rsidRDefault="006830CC" w:rsidP="00BD506A">
      <w:pPr>
        <w:pStyle w:val="a3"/>
        <w:ind w:leftChars="150" w:left="358" w:firstLineChars="100" w:firstLine="249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集落協定における</w:t>
      </w:r>
      <w:r w:rsidR="00BD4A14" w:rsidRPr="001D0E66">
        <w:rPr>
          <w:rFonts w:asciiTheme="minorEastAsia" w:eastAsiaTheme="minorEastAsia" w:hAnsiTheme="minorEastAsia" w:hint="eastAsia"/>
        </w:rPr>
        <w:t>交付金の</w:t>
      </w:r>
      <w:r w:rsidR="00BD506A">
        <w:rPr>
          <w:rFonts w:asciiTheme="minorEastAsia" w:eastAsiaTheme="minorEastAsia" w:hAnsiTheme="minorEastAsia" w:hint="eastAsia"/>
        </w:rPr>
        <w:t>配分割合は、共同取組活動に</w:t>
      </w:r>
      <w:r w:rsidR="00F77BC5">
        <w:rPr>
          <w:rFonts w:asciiTheme="minorEastAsia" w:eastAsiaTheme="minorEastAsia" w:hAnsiTheme="minorEastAsia" w:hint="eastAsia"/>
        </w:rPr>
        <w:t>51.</w:t>
      </w:r>
      <w:r w:rsidR="0097029F">
        <w:rPr>
          <w:rFonts w:asciiTheme="minorEastAsia" w:eastAsiaTheme="minorEastAsia" w:hAnsiTheme="minorEastAsia" w:hint="eastAsia"/>
        </w:rPr>
        <w:t>8</w:t>
      </w:r>
      <w:r w:rsidR="00BD4A14" w:rsidRPr="001D0E66">
        <w:rPr>
          <w:rFonts w:asciiTheme="minorEastAsia" w:eastAsiaTheme="minorEastAsia" w:hAnsiTheme="minorEastAsia" w:hint="eastAsia"/>
        </w:rPr>
        <w:t>％（約</w:t>
      </w:r>
      <w:r w:rsidR="00F77BC5">
        <w:rPr>
          <w:rFonts w:asciiTheme="minorEastAsia" w:eastAsiaTheme="minorEastAsia" w:hAnsiTheme="minorEastAsia" w:hint="eastAsia"/>
        </w:rPr>
        <w:t>12</w:t>
      </w:r>
      <w:r w:rsidR="00BD4A14" w:rsidRPr="001D0E66">
        <w:rPr>
          <w:rFonts w:asciiTheme="minorEastAsia" w:eastAsiaTheme="minorEastAsia" w:hAnsiTheme="minorEastAsia" w:hint="eastAsia"/>
        </w:rPr>
        <w:t>億</w:t>
      </w:r>
      <w:r w:rsidR="0097029F">
        <w:rPr>
          <w:rFonts w:asciiTheme="minorEastAsia" w:eastAsiaTheme="minorEastAsia" w:hAnsiTheme="minorEastAsia" w:hint="eastAsia"/>
        </w:rPr>
        <w:t>9</w:t>
      </w:r>
      <w:r w:rsidR="00BD4A14">
        <w:rPr>
          <w:rFonts w:asciiTheme="minorEastAsia" w:eastAsiaTheme="minorEastAsia" w:hAnsiTheme="minorEastAsia" w:hint="eastAsia"/>
        </w:rPr>
        <w:t>千</w:t>
      </w:r>
      <w:r w:rsidR="00BD4A14" w:rsidRPr="001D0E66">
        <w:rPr>
          <w:rFonts w:asciiTheme="minorEastAsia" w:eastAsiaTheme="minorEastAsia" w:hAnsiTheme="minorEastAsia" w:hint="eastAsia"/>
        </w:rPr>
        <w:t>万円）</w:t>
      </w:r>
      <w:r w:rsidR="00BD506A">
        <w:rPr>
          <w:rFonts w:asciiTheme="minorEastAsia" w:eastAsiaTheme="minorEastAsia" w:hAnsiTheme="minorEastAsia" w:hint="eastAsia"/>
        </w:rPr>
        <w:t>、個人配分に</w:t>
      </w:r>
      <w:r w:rsidR="001F517A">
        <w:rPr>
          <w:rFonts w:asciiTheme="minorEastAsia" w:eastAsiaTheme="minorEastAsia" w:hAnsiTheme="minorEastAsia" w:hint="eastAsia"/>
        </w:rPr>
        <w:t>48</w:t>
      </w:r>
      <w:bookmarkStart w:id="0" w:name="_GoBack"/>
      <w:bookmarkEnd w:id="0"/>
      <w:r w:rsidR="00230C7B">
        <w:rPr>
          <w:rFonts w:asciiTheme="minorEastAsia" w:eastAsiaTheme="minorEastAsia" w:hAnsiTheme="minorEastAsia" w:hint="eastAsia"/>
        </w:rPr>
        <w:t>.2</w:t>
      </w:r>
      <w:r w:rsidR="00BD4A14" w:rsidRPr="001D0E66">
        <w:rPr>
          <w:rFonts w:asciiTheme="minorEastAsia" w:eastAsiaTheme="minorEastAsia" w:hAnsiTheme="minorEastAsia" w:hint="eastAsia"/>
        </w:rPr>
        <w:t>％（約</w:t>
      </w:r>
      <w:r w:rsidR="00230C7B">
        <w:rPr>
          <w:rFonts w:asciiTheme="minorEastAsia" w:eastAsiaTheme="minorEastAsia" w:hAnsiTheme="minorEastAsia" w:hint="eastAsia"/>
        </w:rPr>
        <w:t>12</w:t>
      </w:r>
      <w:r w:rsidR="00BD4A14" w:rsidRPr="001D0E66">
        <w:rPr>
          <w:rFonts w:asciiTheme="minorEastAsia" w:eastAsiaTheme="minorEastAsia" w:hAnsiTheme="minorEastAsia" w:hint="eastAsia"/>
        </w:rPr>
        <w:t>億</w:t>
      </w:r>
      <w:r w:rsidR="00B162E9">
        <w:rPr>
          <w:rFonts w:asciiTheme="minorEastAsia" w:eastAsiaTheme="minorEastAsia" w:hAnsiTheme="minorEastAsia" w:hint="eastAsia"/>
        </w:rPr>
        <w:t>1</w:t>
      </w:r>
      <w:r w:rsidR="00EB7895">
        <w:rPr>
          <w:rFonts w:asciiTheme="minorEastAsia" w:eastAsiaTheme="minorEastAsia" w:hAnsiTheme="minorEastAsia" w:hint="eastAsia"/>
        </w:rPr>
        <w:t>百</w:t>
      </w:r>
      <w:r w:rsidR="00BD4A14" w:rsidRPr="001D0E66">
        <w:rPr>
          <w:rFonts w:asciiTheme="minorEastAsia" w:eastAsiaTheme="minorEastAsia" w:hAnsiTheme="minorEastAsia" w:hint="eastAsia"/>
        </w:rPr>
        <w:t>万円）</w:t>
      </w:r>
      <w:r w:rsidR="00BD506A">
        <w:rPr>
          <w:rFonts w:asciiTheme="minorEastAsia" w:eastAsiaTheme="minorEastAsia" w:hAnsiTheme="minorEastAsia" w:hint="eastAsia"/>
        </w:rPr>
        <w:t>となっている</w:t>
      </w:r>
      <w:r w:rsidR="00BD4A14" w:rsidRPr="001D0E66">
        <w:rPr>
          <w:rFonts w:asciiTheme="minorEastAsia" w:eastAsiaTheme="minorEastAsia" w:hAnsiTheme="minorEastAsia" w:hint="eastAsia"/>
        </w:rPr>
        <w:t>（図</w:t>
      </w:r>
      <w:r w:rsidR="00BD4A14">
        <w:rPr>
          <w:rFonts w:asciiTheme="minorEastAsia" w:eastAsiaTheme="minorEastAsia" w:hAnsiTheme="minorEastAsia" w:hint="eastAsia"/>
        </w:rPr>
        <w:t>2</w:t>
      </w:r>
      <w:r w:rsidR="00796F07">
        <w:rPr>
          <w:rFonts w:asciiTheme="minorEastAsia" w:eastAsiaTheme="minorEastAsia" w:hAnsiTheme="minorEastAsia" w:hint="eastAsia"/>
        </w:rPr>
        <w:t>2</w:t>
      </w:r>
      <w:r w:rsidR="00BD4A14" w:rsidRPr="001D0E66">
        <w:rPr>
          <w:rFonts w:asciiTheme="minorEastAsia" w:eastAsiaTheme="minorEastAsia" w:hAnsiTheme="minorEastAsia" w:hint="eastAsia"/>
        </w:rPr>
        <w:t>）</w:t>
      </w:r>
      <w:r w:rsidR="00BD4A14">
        <w:rPr>
          <w:rFonts w:asciiTheme="minorEastAsia" w:eastAsiaTheme="minorEastAsia" w:hAnsiTheme="minorEastAsia" w:hint="eastAsia"/>
        </w:rPr>
        <w:t>。</w:t>
      </w:r>
    </w:p>
    <w:p w:rsidR="00BD4A14" w:rsidRPr="00EB7895" w:rsidRDefault="008F4085" w:rsidP="000C7A7E">
      <w:pPr>
        <w:pStyle w:val="a3"/>
        <w:ind w:leftChars="150" w:left="358" w:firstLineChars="100" w:firstLine="239"/>
        <w:jc w:val="left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3581400" cy="2609850"/>
            <wp:effectExtent l="0" t="0" r="0" b="0"/>
            <wp:wrapTopAndBottom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D506A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また、</w:t>
      </w:r>
      <w:r w:rsidR="00BD4A14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共同取組活動への</w:t>
      </w:r>
      <w:r w:rsidR="00BD506A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配分</w:t>
      </w:r>
      <w:r w:rsidR="00BD4A14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割合</w:t>
      </w:r>
      <w:r w:rsidR="000D7554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別集落協定数</w:t>
      </w:r>
      <w:r w:rsidR="00BD4A14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を</w:t>
      </w:r>
      <w:r w:rsidR="00195667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み</w:t>
      </w:r>
      <w:r w:rsidR="00BD4A14" w:rsidRPr="008F4085">
        <w:rPr>
          <w:rFonts w:asciiTheme="minorEastAsia" w:eastAsiaTheme="minorEastAsia" w:hAnsiTheme="minorEastAsia" w:hint="eastAsia"/>
          <w:spacing w:val="2"/>
          <w:fitText w:val="8485" w:id="1990482176"/>
        </w:rPr>
        <w:t>ると、50％以上60％未満</w:t>
      </w:r>
      <w:r w:rsidR="00BD4A14" w:rsidRPr="008F4085">
        <w:rPr>
          <w:rFonts w:asciiTheme="minorEastAsia" w:eastAsiaTheme="minorEastAsia" w:hAnsiTheme="minorEastAsia" w:hint="eastAsia"/>
          <w:spacing w:val="-25"/>
          <w:fitText w:val="8485" w:id="1990482176"/>
        </w:rPr>
        <w:t>が</w:t>
      </w:r>
      <w:r w:rsidR="00B162E9">
        <w:rPr>
          <w:rFonts w:asciiTheme="minorEastAsia" w:eastAsiaTheme="minorEastAsia" w:hAnsiTheme="minorEastAsia" w:hint="eastAsia"/>
          <w:spacing w:val="0"/>
        </w:rPr>
        <w:t>453</w:t>
      </w:r>
      <w:r w:rsidR="00BD4A14">
        <w:rPr>
          <w:rFonts w:asciiTheme="minorEastAsia" w:eastAsiaTheme="minorEastAsia" w:hAnsiTheme="minorEastAsia" w:hint="eastAsia"/>
        </w:rPr>
        <w:t>協定と最も多</w:t>
      </w:r>
      <w:r w:rsidR="000C7A7E">
        <w:rPr>
          <w:rFonts w:asciiTheme="minorEastAsia" w:eastAsiaTheme="minorEastAsia" w:hAnsiTheme="minorEastAsia" w:hint="eastAsia"/>
        </w:rPr>
        <w:t>い</w:t>
      </w:r>
      <w:r w:rsidR="00BD4A14" w:rsidRPr="001D0E66">
        <w:rPr>
          <w:rFonts w:asciiTheme="minorEastAsia" w:eastAsiaTheme="minorEastAsia" w:hAnsiTheme="minorEastAsia" w:hint="eastAsia"/>
        </w:rPr>
        <w:t>（図</w:t>
      </w:r>
      <w:r w:rsidR="00BD4A14">
        <w:rPr>
          <w:rFonts w:asciiTheme="minorEastAsia" w:eastAsiaTheme="minorEastAsia" w:hAnsiTheme="minorEastAsia" w:hint="eastAsia"/>
        </w:rPr>
        <w:t>2</w:t>
      </w:r>
      <w:r w:rsidR="00796F07">
        <w:rPr>
          <w:rFonts w:asciiTheme="minorEastAsia" w:eastAsiaTheme="minorEastAsia" w:hAnsiTheme="minorEastAsia" w:hint="eastAsia"/>
        </w:rPr>
        <w:t>3</w:t>
      </w:r>
      <w:r w:rsidR="00BD4A14" w:rsidRPr="001D0E66">
        <w:rPr>
          <w:rFonts w:asciiTheme="minorEastAsia" w:eastAsiaTheme="minorEastAsia" w:hAnsiTheme="minorEastAsia" w:hint="eastAsia"/>
        </w:rPr>
        <w:t>）</w:t>
      </w:r>
      <w:r w:rsidR="00BD4A14">
        <w:rPr>
          <w:rFonts w:asciiTheme="minorEastAsia" w:eastAsiaTheme="minorEastAsia" w:hAnsiTheme="minorEastAsia" w:hint="eastAsia"/>
        </w:rPr>
        <w:t>。</w:t>
      </w:r>
    </w:p>
    <w:p w:rsidR="00BD4A14" w:rsidRPr="008F4085" w:rsidRDefault="00BD4A14" w:rsidP="00BD4A14">
      <w:pPr>
        <w:pStyle w:val="a3"/>
        <w:ind w:firstLineChars="100" w:firstLine="249"/>
        <w:rPr>
          <w:rFonts w:asciiTheme="minorEastAsia" w:eastAsiaTheme="minorEastAsia" w:hAnsiTheme="minorEastAsia"/>
        </w:rPr>
      </w:pPr>
    </w:p>
    <w:p w:rsidR="00BD4A14" w:rsidRPr="000C7A7E" w:rsidRDefault="00EB7895" w:rsidP="00B64D14">
      <w:pPr>
        <w:widowControl/>
        <w:jc w:val="left"/>
        <w:rPr>
          <w:rFonts w:hAnsi="ＭＳ 明朝"/>
        </w:rPr>
      </w:pPr>
      <w:r>
        <w:rPr>
          <w:noProof/>
        </w:rPr>
        <w:drawing>
          <wp:inline distT="0" distB="0" distL="0" distR="0" wp14:anchorId="670277CA" wp14:editId="61A48F02">
            <wp:extent cx="5759450" cy="3047593"/>
            <wp:effectExtent l="0" t="0" r="0" b="63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7A7E" w:rsidRDefault="00C55F9C" w:rsidP="00857D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C7A7E" w:rsidRDefault="000C7A7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C55F9C" w:rsidRDefault="00C55F9C" w:rsidP="004C50D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⑥ 共同取組活動に配分された交付金の使途</w:t>
      </w:r>
    </w:p>
    <w:p w:rsidR="000C7A7E" w:rsidRPr="00B64D14" w:rsidRDefault="00B162E9" w:rsidP="00B664B9">
      <w:pPr>
        <w:ind w:left="358" w:hangingChars="150" w:hanging="358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4591050</wp:posOffset>
            </wp:positionV>
            <wp:extent cx="5759450" cy="3700780"/>
            <wp:effectExtent l="0" t="0" r="0" b="0"/>
            <wp:wrapTopAndBottom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2B544C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862330</wp:posOffset>
            </wp:positionV>
            <wp:extent cx="5705475" cy="3686810"/>
            <wp:effectExtent l="0" t="0" r="0" b="8890"/>
            <wp:wrapTopAndBottom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4C50DF">
        <w:rPr>
          <w:rFonts w:asciiTheme="minorEastAsia" w:eastAsiaTheme="minorEastAsia" w:hAnsiTheme="minorEastAsia" w:hint="eastAsia"/>
        </w:rPr>
        <w:t xml:space="preserve">　</w:t>
      </w:r>
      <w:r w:rsidR="00C55F9C">
        <w:rPr>
          <w:rFonts w:asciiTheme="minorEastAsia" w:eastAsiaTheme="minorEastAsia" w:hAnsiTheme="minorEastAsia" w:hint="eastAsia"/>
        </w:rPr>
        <w:t xml:space="preserve">　 </w:t>
      </w:r>
      <w:r w:rsidR="004C50DF">
        <w:rPr>
          <w:rFonts w:asciiTheme="minorEastAsia" w:eastAsiaTheme="minorEastAsia" w:hAnsiTheme="minorEastAsia" w:hint="eastAsia"/>
        </w:rPr>
        <w:t>共同取組活動に配分された交付金の使途（金額ベース）については、「農道・水路管理費」が</w:t>
      </w:r>
      <w:r w:rsidR="006E1452">
        <w:rPr>
          <w:rFonts w:asciiTheme="minorEastAsia" w:eastAsiaTheme="minorEastAsia" w:hAnsiTheme="minorEastAsia" w:hint="eastAsia"/>
        </w:rPr>
        <w:t>1</w:t>
      </w:r>
      <w:r w:rsidR="00B664B9">
        <w:rPr>
          <w:rFonts w:asciiTheme="minorEastAsia" w:eastAsiaTheme="minorEastAsia" w:hAnsiTheme="minorEastAsia" w:hint="eastAsia"/>
        </w:rPr>
        <w:t>6.3</w:t>
      </w:r>
      <w:r w:rsidR="004C50DF">
        <w:rPr>
          <w:rFonts w:asciiTheme="minorEastAsia" w:eastAsiaTheme="minorEastAsia" w:hAnsiTheme="minorEastAsia" w:hint="eastAsia"/>
        </w:rPr>
        <w:t>％と最も多く、次いで</w:t>
      </w:r>
      <w:r w:rsidR="00B664B9">
        <w:rPr>
          <w:rFonts w:asciiTheme="minorEastAsia" w:eastAsiaTheme="minorEastAsia" w:hAnsiTheme="minorEastAsia" w:hint="eastAsia"/>
        </w:rPr>
        <w:t>「共同利用機械購入等費」10.3％、</w:t>
      </w:r>
      <w:r w:rsidR="00D84EBE">
        <w:rPr>
          <w:rFonts w:asciiTheme="minorEastAsia" w:eastAsiaTheme="minorEastAsia" w:hAnsiTheme="minorEastAsia" w:hint="eastAsia"/>
        </w:rPr>
        <w:t>「農地管理費」</w:t>
      </w:r>
      <w:r w:rsidR="00B664B9">
        <w:rPr>
          <w:rFonts w:asciiTheme="minorEastAsia" w:eastAsiaTheme="minorEastAsia" w:hAnsiTheme="minorEastAsia" w:hint="eastAsia"/>
        </w:rPr>
        <w:t>8.5</w:t>
      </w:r>
      <w:r w:rsidR="00D84EBE">
        <w:rPr>
          <w:rFonts w:asciiTheme="minorEastAsia" w:eastAsiaTheme="minorEastAsia" w:hAnsiTheme="minorEastAsia" w:hint="eastAsia"/>
        </w:rPr>
        <w:t>％、</w:t>
      </w:r>
      <w:r w:rsidR="004C50DF">
        <w:rPr>
          <w:rFonts w:asciiTheme="minorEastAsia" w:eastAsiaTheme="minorEastAsia" w:hAnsiTheme="minorEastAsia" w:hint="eastAsia"/>
        </w:rPr>
        <w:t>となっている（図2</w:t>
      </w:r>
      <w:r w:rsidR="006E1452">
        <w:rPr>
          <w:rFonts w:asciiTheme="minorEastAsia" w:eastAsiaTheme="minorEastAsia" w:hAnsiTheme="minorEastAsia" w:hint="eastAsia"/>
        </w:rPr>
        <w:t>4</w:t>
      </w:r>
      <w:r w:rsidR="004C50DF">
        <w:rPr>
          <w:rFonts w:asciiTheme="minorEastAsia" w:eastAsiaTheme="minorEastAsia" w:hAnsiTheme="minorEastAsia" w:hint="eastAsia"/>
        </w:rPr>
        <w:t>、図2</w:t>
      </w:r>
      <w:r w:rsidR="006E1452">
        <w:rPr>
          <w:rFonts w:asciiTheme="minorEastAsia" w:eastAsiaTheme="minorEastAsia" w:hAnsiTheme="minorEastAsia" w:hint="eastAsia"/>
        </w:rPr>
        <w:t>5</w:t>
      </w:r>
      <w:r w:rsidR="004C50DF">
        <w:rPr>
          <w:rFonts w:asciiTheme="minorEastAsia" w:eastAsiaTheme="minorEastAsia" w:hAnsiTheme="minorEastAsia" w:hint="eastAsia"/>
        </w:rPr>
        <w:t>）。</w:t>
      </w:r>
    </w:p>
    <w:sectPr w:rsidR="000C7A7E" w:rsidRPr="00B64D14" w:rsidSect="00B8749D">
      <w:footerReference w:type="default" r:id="rId15"/>
      <w:pgSz w:w="11906" w:h="16838" w:code="9"/>
      <w:pgMar w:top="1701" w:right="1418" w:bottom="1701" w:left="1418" w:header="851" w:footer="992" w:gutter="0"/>
      <w:pgNumType w:fmt="numberInDash" w:start="12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4D" w:rsidRPr="00921D83" w:rsidRDefault="000B0B4D" w:rsidP="00AA70B7">
      <w:pPr>
        <w:rPr>
          <w:rFonts w:asciiTheme="minorHAnsi" w:eastAsiaTheme="minorEastAsia"/>
          <w:sz w:val="21"/>
        </w:rPr>
      </w:pPr>
      <w:r>
        <w:separator/>
      </w:r>
    </w:p>
  </w:endnote>
  <w:endnote w:type="continuationSeparator" w:id="0">
    <w:p w:rsidR="000B0B4D" w:rsidRPr="00921D83" w:rsidRDefault="000B0B4D" w:rsidP="00AA70B7">
      <w:pPr>
        <w:rPr>
          <w:rFonts w:asciiTheme="minorHAnsi" w:eastAsiaTheme="minorEastAsia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9D" w:rsidRDefault="00B8749D">
    <w:pPr>
      <w:pStyle w:val="a8"/>
      <w:jc w:val="center"/>
    </w:pPr>
  </w:p>
  <w:p w:rsidR="00B8749D" w:rsidRDefault="00B874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4D" w:rsidRPr="00921D83" w:rsidRDefault="000B0B4D" w:rsidP="00AA70B7">
      <w:pPr>
        <w:rPr>
          <w:rFonts w:asciiTheme="minorHAnsi" w:eastAsiaTheme="minorEastAsia"/>
          <w:sz w:val="21"/>
        </w:rPr>
      </w:pPr>
      <w:r>
        <w:separator/>
      </w:r>
    </w:p>
  </w:footnote>
  <w:footnote w:type="continuationSeparator" w:id="0">
    <w:p w:rsidR="000B0B4D" w:rsidRPr="00921D83" w:rsidRDefault="000B0B4D" w:rsidP="00AA70B7">
      <w:pPr>
        <w:rPr>
          <w:rFonts w:asciiTheme="minorHAnsi" w:eastAsiaTheme="minorEastAsia"/>
          <w:sz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0"/>
    <w:rsid w:val="00001EE4"/>
    <w:rsid w:val="0001368F"/>
    <w:rsid w:val="00064D74"/>
    <w:rsid w:val="00073563"/>
    <w:rsid w:val="000B0B4D"/>
    <w:rsid w:val="000C7A7E"/>
    <w:rsid w:val="000D06CE"/>
    <w:rsid w:val="000D7554"/>
    <w:rsid w:val="000E3A77"/>
    <w:rsid w:val="0011260E"/>
    <w:rsid w:val="0011649B"/>
    <w:rsid w:val="001267E0"/>
    <w:rsid w:val="0013348A"/>
    <w:rsid w:val="00135AF2"/>
    <w:rsid w:val="001574BD"/>
    <w:rsid w:val="00176982"/>
    <w:rsid w:val="00184D61"/>
    <w:rsid w:val="00195667"/>
    <w:rsid w:val="001A5C69"/>
    <w:rsid w:val="001B5251"/>
    <w:rsid w:val="001F1EAE"/>
    <w:rsid w:val="001F517A"/>
    <w:rsid w:val="00230C7B"/>
    <w:rsid w:val="0024781E"/>
    <w:rsid w:val="00270F62"/>
    <w:rsid w:val="00272175"/>
    <w:rsid w:val="002854D2"/>
    <w:rsid w:val="002B4105"/>
    <w:rsid w:val="002B544C"/>
    <w:rsid w:val="002C514C"/>
    <w:rsid w:val="00315E85"/>
    <w:rsid w:val="003303B3"/>
    <w:rsid w:val="00331ED2"/>
    <w:rsid w:val="00347EA7"/>
    <w:rsid w:val="00356B20"/>
    <w:rsid w:val="00393FBA"/>
    <w:rsid w:val="003D55C2"/>
    <w:rsid w:val="003D5DAC"/>
    <w:rsid w:val="00411864"/>
    <w:rsid w:val="004628D2"/>
    <w:rsid w:val="004A233E"/>
    <w:rsid w:val="004A4E3F"/>
    <w:rsid w:val="004B783D"/>
    <w:rsid w:val="004C50DF"/>
    <w:rsid w:val="004F27AB"/>
    <w:rsid w:val="00503590"/>
    <w:rsid w:val="005116BF"/>
    <w:rsid w:val="00530A1A"/>
    <w:rsid w:val="00542BFC"/>
    <w:rsid w:val="00562321"/>
    <w:rsid w:val="005655CB"/>
    <w:rsid w:val="00576BBC"/>
    <w:rsid w:val="00592FB3"/>
    <w:rsid w:val="005A22A4"/>
    <w:rsid w:val="005A2B8D"/>
    <w:rsid w:val="005C54DA"/>
    <w:rsid w:val="005D6855"/>
    <w:rsid w:val="0061420C"/>
    <w:rsid w:val="00637E4B"/>
    <w:rsid w:val="00645523"/>
    <w:rsid w:val="006830CC"/>
    <w:rsid w:val="00694847"/>
    <w:rsid w:val="006953AB"/>
    <w:rsid w:val="006D02F4"/>
    <w:rsid w:val="006E1452"/>
    <w:rsid w:val="007266EC"/>
    <w:rsid w:val="007277E2"/>
    <w:rsid w:val="007700AA"/>
    <w:rsid w:val="007725C8"/>
    <w:rsid w:val="00777350"/>
    <w:rsid w:val="00796F07"/>
    <w:rsid w:val="00802F15"/>
    <w:rsid w:val="008337B0"/>
    <w:rsid w:val="00853946"/>
    <w:rsid w:val="00857D88"/>
    <w:rsid w:val="008F27B6"/>
    <w:rsid w:val="008F4085"/>
    <w:rsid w:val="008F7930"/>
    <w:rsid w:val="00913E6C"/>
    <w:rsid w:val="00954F30"/>
    <w:rsid w:val="00961103"/>
    <w:rsid w:val="0097029F"/>
    <w:rsid w:val="009B5256"/>
    <w:rsid w:val="009F7E0D"/>
    <w:rsid w:val="00A42516"/>
    <w:rsid w:val="00A42901"/>
    <w:rsid w:val="00A60EE7"/>
    <w:rsid w:val="00A61BAE"/>
    <w:rsid w:val="00A6391D"/>
    <w:rsid w:val="00A9542E"/>
    <w:rsid w:val="00AA70B7"/>
    <w:rsid w:val="00AB2DD7"/>
    <w:rsid w:val="00B162E9"/>
    <w:rsid w:val="00B41475"/>
    <w:rsid w:val="00B51D69"/>
    <w:rsid w:val="00B64A9B"/>
    <w:rsid w:val="00B64D14"/>
    <w:rsid w:val="00B664B9"/>
    <w:rsid w:val="00B84888"/>
    <w:rsid w:val="00B84BE1"/>
    <w:rsid w:val="00B8749D"/>
    <w:rsid w:val="00BB1DC1"/>
    <w:rsid w:val="00BC7EC2"/>
    <w:rsid w:val="00BD4A14"/>
    <w:rsid w:val="00BD506A"/>
    <w:rsid w:val="00BF7F35"/>
    <w:rsid w:val="00C309CD"/>
    <w:rsid w:val="00C35EED"/>
    <w:rsid w:val="00C55F9C"/>
    <w:rsid w:val="00CB078C"/>
    <w:rsid w:val="00CC5B62"/>
    <w:rsid w:val="00CF5617"/>
    <w:rsid w:val="00CF6BEB"/>
    <w:rsid w:val="00D07A61"/>
    <w:rsid w:val="00D41B35"/>
    <w:rsid w:val="00D4593C"/>
    <w:rsid w:val="00D46536"/>
    <w:rsid w:val="00D61F44"/>
    <w:rsid w:val="00D84EBE"/>
    <w:rsid w:val="00DC1478"/>
    <w:rsid w:val="00DD2617"/>
    <w:rsid w:val="00DD5913"/>
    <w:rsid w:val="00DD6238"/>
    <w:rsid w:val="00E04DD4"/>
    <w:rsid w:val="00E612D8"/>
    <w:rsid w:val="00E741B1"/>
    <w:rsid w:val="00EB7895"/>
    <w:rsid w:val="00EC3B83"/>
    <w:rsid w:val="00ED3092"/>
    <w:rsid w:val="00EF3A8A"/>
    <w:rsid w:val="00F20C9E"/>
    <w:rsid w:val="00F65F0C"/>
    <w:rsid w:val="00F77BC5"/>
    <w:rsid w:val="00FA1B35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38C3A"/>
  <w15:docId w15:val="{532F1C90-FA9D-4806-B4E3-8FCEDD20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2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B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0B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AA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0B7"/>
    <w:rPr>
      <w:rFonts w:ascii="ＭＳ ゴシック"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BD4A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17</a:t>
            </a:r>
            <a:r>
              <a:rPr lang="ja-JP" altLang="en-US"/>
              <a:t>．耕作放棄の防止等の活動</a:t>
            </a:r>
          </a:p>
        </c:rich>
      </c:tx>
      <c:layout>
        <c:manualLayout>
          <c:xMode val="edge"/>
          <c:yMode val="edge"/>
          <c:x val="7.8093481360217973E-2"/>
          <c:y val="0.9119441369563553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7725911328338644"/>
          <c:y val="0.11805595586465069"/>
          <c:w val="0.49422062870586603"/>
          <c:h val="0.7190102828658354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9"/>
              <c:layout>
                <c:manualLayout>
                  <c:x val="-7.246376811594203E-3"/>
                  <c:y val="-3.616000305236447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41B-4F01-91D0-627DFC52D61A}"/>
                </c:ext>
              </c:extLst>
            </c:dLbl>
            <c:dLbl>
              <c:idx val="10"/>
              <c:layout>
                <c:manualLayout>
                  <c:x val="-1.6868608847027356E-3"/>
                  <c:y val="5.5695955783894978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1B-4F01-91D0-627DFC52D61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図17!$F$8:$F$17</c:f>
              <c:strCache>
                <c:ptCount val="10"/>
                <c:pt idx="0">
                  <c:v>農地の法面管理</c:v>
                </c:pt>
                <c:pt idx="1">
                  <c:v>柵、ネットの設置等鳥獣被害防止</c:v>
                </c:pt>
                <c:pt idx="2">
                  <c:v>賃借権設定・農作業の委託</c:v>
                </c:pt>
                <c:pt idx="3">
                  <c:v>簡易な基盤整備</c:v>
                </c:pt>
                <c:pt idx="4">
                  <c:v>既荒廃農用地の保全管理　</c:v>
                </c:pt>
                <c:pt idx="5">
                  <c:v>担い手の確保</c:v>
                </c:pt>
                <c:pt idx="6">
                  <c:v>既荒廃農用地の復旧・林地化・畜産的利用</c:v>
                </c:pt>
                <c:pt idx="7">
                  <c:v>限界的農地の林地化</c:v>
                </c:pt>
                <c:pt idx="8">
                  <c:v>地場農産物の加工・販売</c:v>
                </c:pt>
                <c:pt idx="9">
                  <c:v>その他（土地改良事業、災害復旧、地目変更等）</c:v>
                </c:pt>
              </c:strCache>
            </c:strRef>
          </c:cat>
          <c:val>
            <c:numRef>
              <c:f>図17!$G$8:$G$17</c:f>
              <c:numCache>
                <c:formatCode>General</c:formatCode>
                <c:ptCount val="10"/>
                <c:pt idx="0">
                  <c:v>1042</c:v>
                </c:pt>
                <c:pt idx="1">
                  <c:v>677</c:v>
                </c:pt>
                <c:pt idx="2">
                  <c:v>365</c:v>
                </c:pt>
                <c:pt idx="3">
                  <c:v>102</c:v>
                </c:pt>
                <c:pt idx="4">
                  <c:v>80</c:v>
                </c:pt>
                <c:pt idx="5">
                  <c:v>24</c:v>
                </c:pt>
                <c:pt idx="6">
                  <c:v>8</c:v>
                </c:pt>
                <c:pt idx="7">
                  <c:v>4</c:v>
                </c:pt>
                <c:pt idx="8">
                  <c:v>3</c:v>
                </c:pt>
                <c:pt idx="9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1B-4F01-91D0-627DFC52D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589376"/>
        <c:axId val="101590912"/>
      </c:barChart>
      <c:catAx>
        <c:axId val="101589376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590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590912"/>
        <c:scaling>
          <c:orientation val="minMax"/>
          <c:max val="1200"/>
        </c:scaling>
        <c:delete val="0"/>
        <c:axPos val="t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集落協定数</a:t>
                </a:r>
              </a:p>
            </c:rich>
          </c:tx>
          <c:layout>
            <c:manualLayout>
              <c:xMode val="edge"/>
              <c:yMode val="edge"/>
              <c:x val="0.51844290687478845"/>
              <c:y val="3.5477967928016071E-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589376"/>
        <c:crosses val="autoZero"/>
        <c:crossBetween val="between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18</a:t>
            </a:r>
            <a:r>
              <a:rPr lang="ja-JP" altLang="en-US"/>
              <a:t>．水路・農道等の管理活動</a:t>
            </a:r>
          </a:p>
        </c:rich>
      </c:tx>
      <c:layout>
        <c:manualLayout>
          <c:xMode val="edge"/>
          <c:yMode val="edge"/>
          <c:x val="0.19887778008012152"/>
          <c:y val="0.8768491512525431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910221502685997"/>
          <c:y val="0.13758252149162342"/>
          <c:w val="0.71948804369933461"/>
          <c:h val="0.7048635011918850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393873463185523E-2"/>
                  <c:y val="-1.3110935097609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1FC-41B3-8390-D02D69BFEB72}"/>
                </c:ext>
              </c:extLst>
            </c:dLbl>
            <c:dLbl>
              <c:idx val="1"/>
              <c:layout>
                <c:manualLayout>
                  <c:x val="4.272307290002034E-3"/>
                  <c:y val="6.373759493081116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1FC-41B3-8390-D02D69BFEB72}"/>
                </c:ext>
              </c:extLst>
            </c:dLbl>
            <c:dLbl>
              <c:idx val="2"/>
              <c:layout>
                <c:manualLayout>
                  <c:x val="1.5904930702850154E-2"/>
                  <c:y val="5.3114662442339019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1FC-41B3-8390-D02D69BFEB72}"/>
                </c:ext>
              </c:extLst>
            </c:dLbl>
            <c:dLbl>
              <c:idx val="3"/>
              <c:layout>
                <c:manualLayout>
                  <c:x val="-8.2362895427545244E-3"/>
                  <c:y val="-5.199645902249661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FC-41B3-8390-D02D69BFEB72}"/>
                </c:ext>
              </c:extLst>
            </c:dLbl>
            <c:dLbl>
              <c:idx val="4"/>
              <c:layout>
                <c:manualLayout>
                  <c:x val="-5.0752866418013534E-3"/>
                  <c:y val="-5.98860053735886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FC-41B3-8390-D02D69BFEB72}"/>
                </c:ext>
              </c:extLst>
            </c:dLbl>
            <c:dLbl>
              <c:idx val="5"/>
              <c:layout>
                <c:manualLayout>
                  <c:x val="-5.307708246995441E-3"/>
                  <c:y val="1.79471648884126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FC-41B3-8390-D02D69BFEB72}"/>
                </c:ext>
              </c:extLst>
            </c:dLbl>
            <c:dLbl>
              <c:idx val="6"/>
              <c:layout>
                <c:manualLayout>
                  <c:x val="-1.09649122807017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1FC-41B3-8390-D02D69BFEB72}"/>
                </c:ext>
              </c:extLst>
            </c:dLbl>
            <c:dLbl>
              <c:idx val="10"/>
              <c:layout>
                <c:manualLayout>
                  <c:x val="6.57894736842105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FC-41B3-8390-D02D69BFEB72}"/>
                </c:ext>
              </c:extLst>
            </c:dLbl>
            <c:dLbl>
              <c:idx val="11"/>
              <c:layout>
                <c:manualLayout>
                  <c:x val="-8.7719298245614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1FC-41B3-8390-D02D69BFEB7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図18!$B$3:$B$5</c:f>
              <c:strCache>
                <c:ptCount val="3"/>
                <c:pt idx="0">
                  <c:v>農道の管理</c:v>
                </c:pt>
                <c:pt idx="1">
                  <c:v>水路の管理</c:v>
                </c:pt>
                <c:pt idx="2">
                  <c:v>その他の施設管理</c:v>
                </c:pt>
              </c:strCache>
            </c:strRef>
          </c:cat>
          <c:val>
            <c:numRef>
              <c:f>図18!$C$3:$C$5</c:f>
              <c:numCache>
                <c:formatCode>General</c:formatCode>
                <c:ptCount val="3"/>
                <c:pt idx="0">
                  <c:v>1284</c:v>
                </c:pt>
                <c:pt idx="1">
                  <c:v>1156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1FC-41B3-8390-D02D69BFE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46400"/>
        <c:axId val="101447936"/>
      </c:barChart>
      <c:catAx>
        <c:axId val="101446400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44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447936"/>
        <c:scaling>
          <c:orientation val="minMax"/>
          <c:max val="1400"/>
        </c:scaling>
        <c:delete val="0"/>
        <c:axPos val="t"/>
        <c:title>
          <c:tx>
            <c:rich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50"/>
                  <a:t>集落協定数</a:t>
                </a:r>
              </a:p>
            </c:rich>
          </c:tx>
          <c:layout>
            <c:manualLayout>
              <c:xMode val="edge"/>
              <c:yMode val="edge"/>
              <c:x val="0.55114950269374219"/>
              <c:y val="1.4825513674696252E-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446400"/>
        <c:crosses val="autoZero"/>
        <c:crossBetween val="between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19</a:t>
            </a:r>
            <a:r>
              <a:rPr lang="ja-JP" altLang="en-US"/>
              <a:t>．多面的機能を増進する活動</a:t>
            </a:r>
          </a:p>
        </c:rich>
      </c:tx>
      <c:layout>
        <c:manualLayout>
          <c:xMode val="edge"/>
          <c:yMode val="edge"/>
          <c:x val="0.15737058226045889"/>
          <c:y val="0.9069357650165682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0393961228936792"/>
          <c:y val="0.15649791429411467"/>
          <c:w val="0.56298431273819549"/>
          <c:h val="0.7027863777089783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7.2870935976052324E-3"/>
                  <c:y val="-3.13692986519099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93F-4EB0-90E0-D82E993924C5}"/>
                </c:ext>
              </c:extLst>
            </c:dLbl>
            <c:dLbl>
              <c:idx val="1"/>
              <c:layout>
                <c:manualLayout>
                  <c:x val="-5.4770507946596365E-3"/>
                  <c:y val="2.22942720395244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3F-4EB0-90E0-D82E993924C5}"/>
                </c:ext>
              </c:extLst>
            </c:dLbl>
            <c:dLbl>
              <c:idx val="2"/>
              <c:layout>
                <c:manualLayout>
                  <c:x val="-6.0840601202876545E-3"/>
                  <c:y val="4.49948400412796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93F-4EB0-90E0-D82E993924C5}"/>
                </c:ext>
              </c:extLst>
            </c:dLbl>
            <c:dLbl>
              <c:idx val="3"/>
              <c:layout>
                <c:manualLayout>
                  <c:x val="-5.0152026960755469E-3"/>
                  <c:y val="3.67421564564498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93F-4EB0-90E0-D82E993924C5}"/>
                </c:ext>
              </c:extLst>
            </c:dLbl>
            <c:dLbl>
              <c:idx val="4"/>
              <c:layout>
                <c:manualLayout>
                  <c:x val="-7.3539462275735712E-3"/>
                  <c:y val="-7.4712951902683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93F-4EB0-90E0-D82E993924C5}"/>
                </c:ext>
              </c:extLst>
            </c:dLbl>
            <c:dLbl>
              <c:idx val="5"/>
              <c:layout>
                <c:manualLayout>
                  <c:x val="-5.8511744327923139E-3"/>
                  <c:y val="2.79661636722654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93F-4EB0-90E0-D82E993924C5}"/>
                </c:ext>
              </c:extLst>
            </c:dLbl>
            <c:dLbl>
              <c:idx val="6"/>
              <c:layout>
                <c:manualLayout>
                  <c:x val="-5.97907324364723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93F-4EB0-90E0-D82E993924C5}"/>
                </c:ext>
              </c:extLst>
            </c:dLbl>
            <c:dLbl>
              <c:idx val="7"/>
              <c:layout>
                <c:manualLayout>
                  <c:x val="-5.97907324364723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93F-4EB0-90E0-D82E993924C5}"/>
                </c:ext>
              </c:extLst>
            </c:dLbl>
            <c:dLbl>
              <c:idx val="12"/>
              <c:layout>
                <c:manualLayout>
                  <c:x val="4.7114252061248524E-3"/>
                  <c:y val="7.6628352490421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93F-4EB0-90E0-D82E993924C5}"/>
                </c:ext>
              </c:extLst>
            </c:dLbl>
            <c:dLbl>
              <c:idx val="13"/>
              <c:layout>
                <c:manualLayout>
                  <c:x val="-1.7275026193214407E-16"/>
                  <c:y val="7.6628352490421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93F-4EB0-90E0-D82E993924C5}"/>
                </c:ext>
              </c:extLst>
            </c:dLbl>
            <c:dLbl>
              <c:idx val="14"/>
              <c:layout>
                <c:manualLayout>
                  <c:x val="-7.0671378091874517E-3"/>
                  <c:y val="7.66283524904212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93F-4EB0-90E0-D82E993924C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図19!$G$8:$G$18</c:f>
              <c:strCache>
                <c:ptCount val="11"/>
                <c:pt idx="0">
                  <c:v>周辺林地の下草刈</c:v>
                </c:pt>
                <c:pt idx="1">
                  <c:v>景観作物の作付け</c:v>
                </c:pt>
                <c:pt idx="2">
                  <c:v>堆きゅう肥の施肥、拮抗作物の利用、合鴨・鯉の利用、輪作の徹底、緑肥作物の作付</c:v>
                </c:pt>
                <c:pt idx="3">
                  <c:v>粗放的畜産</c:v>
                </c:pt>
                <c:pt idx="4">
                  <c:v>鳥類の餌場の確保</c:v>
                </c:pt>
                <c:pt idx="5">
                  <c:v>魚類・昆虫類の保護</c:v>
                </c:pt>
                <c:pt idx="6">
                  <c:v>土壌流亡に配慮した営農</c:v>
                </c:pt>
                <c:pt idx="7">
                  <c:v>棚田オーナー制度</c:v>
                </c:pt>
                <c:pt idx="8">
                  <c:v>体験民宿（グリーン・ツーリズム）</c:v>
                </c:pt>
                <c:pt idx="9">
                  <c:v>市民農園等の開設・運営</c:v>
                </c:pt>
                <c:pt idx="10">
                  <c:v>その他活動</c:v>
                </c:pt>
              </c:strCache>
            </c:strRef>
          </c:cat>
          <c:val>
            <c:numRef>
              <c:f>図19!$H$8:$H$18</c:f>
              <c:numCache>
                <c:formatCode>General</c:formatCode>
                <c:ptCount val="11"/>
                <c:pt idx="0">
                  <c:v>811</c:v>
                </c:pt>
                <c:pt idx="1">
                  <c:v>398</c:v>
                </c:pt>
                <c:pt idx="2">
                  <c:v>230</c:v>
                </c:pt>
                <c:pt idx="3">
                  <c:v>49</c:v>
                </c:pt>
                <c:pt idx="4">
                  <c:v>23</c:v>
                </c:pt>
                <c:pt idx="5">
                  <c:v>19</c:v>
                </c:pt>
                <c:pt idx="6">
                  <c:v>9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93F-4EB0-90E0-D82E99392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962496"/>
        <c:axId val="59964032"/>
      </c:barChart>
      <c:catAx>
        <c:axId val="59962496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9964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964032"/>
        <c:scaling>
          <c:orientation val="minMax"/>
          <c:max val="850"/>
          <c:min val="0"/>
        </c:scaling>
        <c:delete val="0"/>
        <c:axPos val="t"/>
        <c:title>
          <c:tx>
            <c:rich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集落協定数</a:t>
                </a:r>
              </a:p>
            </c:rich>
          </c:tx>
          <c:layout>
            <c:manualLayout>
              <c:xMode val="edge"/>
              <c:yMode val="edge"/>
              <c:x val="0.53066043526470974"/>
              <c:y val="1.1570704906066649E-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9962496"/>
        <c:crosses val="autoZero"/>
        <c:crossBetween val="between"/>
        <c:majorUnit val="100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ja-JP" altLang="ja-JP" sz="1200" b="0" i="0" baseline="0">
                <a:effectLst/>
              </a:rPr>
              <a:t>図</a:t>
            </a:r>
            <a:r>
              <a:rPr lang="en-US" altLang="ja-JP" sz="1200" b="0" i="0" baseline="0">
                <a:effectLst/>
              </a:rPr>
              <a:t>20.</a:t>
            </a:r>
            <a:r>
              <a:rPr lang="ja-JP" altLang="ja-JP" sz="1200" b="0" i="0" baseline="0">
                <a:effectLst/>
              </a:rPr>
              <a:t>集落マスタープランにおける集落の目指すべき将来像</a:t>
            </a:r>
            <a:endParaRPr lang="ja-JP" altLang="ja-JP" sz="1200">
              <a:effectLst/>
            </a:endParaRPr>
          </a:p>
        </c:rich>
      </c:tx>
      <c:layout>
        <c:manualLayout>
          <c:xMode val="edge"/>
          <c:yMode val="edge"/>
          <c:x val="0.21121962342507555"/>
          <c:y val="0.9243697586582164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9116491279711533"/>
          <c:y val="0.17720248383586198"/>
          <c:w val="0.45899085044276006"/>
          <c:h val="0.6520658088470648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図20!$B$3:$B$6</c:f>
              <c:strCache>
                <c:ptCount val="4"/>
                <c:pt idx="0">
                  <c:v>将来にわたり農業生産活動等が可能となる集落内の実施体制構築</c:v>
                </c:pt>
                <c:pt idx="1">
                  <c:v>協定の担い手となる新たな人材の育成・確保</c:v>
                </c:pt>
                <c:pt idx="2">
                  <c:v>協定参加者それぞれが、作物生産、加工・直売等様々な工夫により再生可能な所得を確保</c:v>
                </c:pt>
                <c:pt idx="3">
                  <c:v>その他</c:v>
                </c:pt>
              </c:strCache>
            </c:strRef>
          </c:cat>
          <c:val>
            <c:numRef>
              <c:f>図20!$C$3:$C$6</c:f>
              <c:numCache>
                <c:formatCode>General</c:formatCode>
                <c:ptCount val="4"/>
                <c:pt idx="0">
                  <c:v>1156</c:v>
                </c:pt>
                <c:pt idx="1">
                  <c:v>193</c:v>
                </c:pt>
                <c:pt idx="2">
                  <c:v>105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C-4224-A5E5-4A3A9CF33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812480"/>
        <c:axId val="101814272"/>
      </c:barChart>
      <c:catAx>
        <c:axId val="1018124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9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814272"/>
        <c:crosses val="autoZero"/>
        <c:auto val="1"/>
        <c:lblAlgn val="ctr"/>
        <c:lblOffset val="120"/>
        <c:tickLblSkip val="1"/>
        <c:tickMarkSkip val="1"/>
        <c:noMultiLvlLbl val="0"/>
      </c:catAx>
      <c:valAx>
        <c:axId val="101814272"/>
        <c:scaling>
          <c:orientation val="minMax"/>
          <c:max val="1500"/>
          <c:min val="0"/>
        </c:scaling>
        <c:delete val="0"/>
        <c:axPos val="t"/>
        <c:title>
          <c:tx>
            <c:rich>
              <a:bodyPr/>
              <a:lstStyle/>
              <a:p>
                <a:pPr>
                  <a:defRPr sz="1050"/>
                </a:pPr>
                <a:r>
                  <a:rPr lang="ja-JP" altLang="ja-JP" sz="1050" b="0" i="0" baseline="0">
                    <a:effectLst/>
                  </a:rPr>
                  <a:t>集落協定数</a:t>
                </a:r>
                <a:endParaRPr lang="ja-JP" altLang="ja-JP" sz="1050">
                  <a:effectLst/>
                </a:endParaRPr>
              </a:p>
            </c:rich>
          </c:tx>
          <c:layout/>
          <c:overlay val="0"/>
        </c:title>
        <c:numFmt formatCode="General" sourceLinked="1"/>
        <c:majorTickMark val="in"/>
        <c:minorTickMark val="none"/>
        <c:tickLblPos val="nextTo"/>
        <c:spPr>
          <a:ln/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812480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21</a:t>
            </a:r>
            <a:r>
              <a:rPr lang="ja-JP" altLang="en-US"/>
              <a:t>．集落戦略の作成状況</a:t>
            </a:r>
          </a:p>
        </c:rich>
      </c:tx>
      <c:layout>
        <c:manualLayout>
          <c:xMode val="edge"/>
          <c:yMode val="edge"/>
          <c:x val="0.28281454179929638"/>
          <c:y val="0.9075425790754257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704584799240521"/>
          <c:y val="4.6229093626070465E-2"/>
          <c:w val="0.66568914956011727"/>
          <c:h val="0.8284686296558323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5A7-429C-9191-6C73A904B5C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5A7-429C-9191-6C73A904B5CF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5A7-429C-9191-6C73A904B5C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A7-429C-9191-6C73A904B5C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A7-429C-9191-6C73A904B5CF}"/>
                </c:ext>
              </c:extLst>
            </c:dLbl>
            <c:dLbl>
              <c:idx val="2"/>
              <c:layout>
                <c:manualLayout>
                  <c:x val="-2.68060378915523E-3"/>
                  <c:y val="-0.19386745796241345"/>
                </c:manualLayout>
              </c:layout>
              <c:tx>
                <c:rich>
                  <a:bodyPr/>
                  <a:lstStyle/>
                  <a:p>
                    <a:fld id="{A3508E5C-D4F2-40DE-B67D-65A938A2AB0B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B98E15A9-EBBB-42A4-9784-8F7458F57B5C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協定</a:t>
                    </a:r>
                  </a:p>
                  <a:p>
                    <a:r>
                      <a:rPr lang="ja-JP" altLang="en-US" baseline="0"/>
                      <a:t>（</a:t>
                    </a:r>
                    <a:r>
                      <a:rPr lang="en-US" altLang="ja-JP" baseline="0"/>
                      <a:t>100.0%</a:t>
                    </a:r>
                    <a:r>
                      <a:rPr lang="ja-JP" altLang="en-US" baseline="0"/>
                      <a:t>）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5A7-429C-9191-6C73A904B5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図21!$B$4:$B$6</c:f>
              <c:strCache>
                <c:ptCount val="3"/>
                <c:pt idx="2">
                  <c:v>要件を全て満たす集落戦略が市町村に提出済み</c:v>
                </c:pt>
              </c:strCache>
            </c:strRef>
          </c:cat>
          <c:val>
            <c:numRef>
              <c:f>図21!$C$4:$C$6</c:f>
              <c:numCache>
                <c:formatCode>General</c:formatCode>
                <c:ptCount val="3"/>
                <c:pt idx="2">
                  <c:v>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A7-429C-9191-6C73A904B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22</a:t>
            </a:r>
            <a:r>
              <a:rPr lang="ja-JP" altLang="en-US"/>
              <a:t>．交付金の配分割合</a:t>
            </a:r>
          </a:p>
        </c:rich>
      </c:tx>
      <c:layout>
        <c:manualLayout>
          <c:xMode val="edge"/>
          <c:yMode val="edge"/>
          <c:x val="0.28281454179929638"/>
          <c:y val="0.9075425790754257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704584799240521"/>
          <c:y val="4.6229093626070465E-2"/>
          <c:w val="0.66568914956011727"/>
          <c:h val="0.8284686296558323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F57-4F51-A7BD-877E7BAE0F7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F57-4F51-A7BD-877E7BAE0F7E}"/>
              </c:ext>
            </c:extLst>
          </c:dPt>
          <c:dLbls>
            <c:dLbl>
              <c:idx val="0"/>
              <c:layout>
                <c:manualLayout>
                  <c:x val="-0.25673395878706651"/>
                  <c:y val="-0.1251347778607966"/>
                </c:manualLayout>
              </c:layout>
              <c:tx>
                <c:rich>
                  <a:bodyPr/>
                  <a:lstStyle/>
                  <a:p>
                    <a:pPr>
                      <a:defRPr sz="1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>
                        <a:solidFill>
                          <a:schemeClr val="bg1"/>
                        </a:solidFill>
                      </a:rPr>
                      <a:t>共同取組活動</a:t>
                    </a:r>
                  </a:p>
                  <a:p>
                    <a:pPr>
                      <a:defRPr sz="1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>
                        <a:solidFill>
                          <a:schemeClr val="bg1"/>
                        </a:solidFill>
                      </a:rPr>
                      <a:t>51.8%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F57-4F51-A7BD-877E7BAE0F7E}"/>
                </c:ext>
              </c:extLst>
            </c:dLbl>
            <c:dLbl>
              <c:idx val="1"/>
              <c:layout>
                <c:manualLayout>
                  <c:x val="0.20970653934215669"/>
                  <c:y val="0.1000735674464049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1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個人</a:t>
                    </a:r>
                  </a:p>
                  <a:p>
                    <a:pPr>
                      <a:defRPr sz="8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ja-JP" altLang="en-US" sz="1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配分</a:t>
                    </a:r>
                  </a:p>
                  <a:p>
                    <a:pPr>
                      <a:defRPr sz="8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sz="1400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</a:rPr>
                      <a:t>48.2%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F57-4F51-A7BD-877E7BAE0F7E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図22!$B$3:$B$4</c:f>
              <c:strCache>
                <c:ptCount val="2"/>
                <c:pt idx="0">
                  <c:v>共同活動充当</c:v>
                </c:pt>
                <c:pt idx="1">
                  <c:v>個人配分</c:v>
                </c:pt>
              </c:strCache>
            </c:strRef>
          </c:cat>
          <c:val>
            <c:numRef>
              <c:f>図22!$C$3:$C$4</c:f>
              <c:numCache>
                <c:formatCode>General</c:formatCode>
                <c:ptCount val="2"/>
                <c:pt idx="0">
                  <c:v>1290713809</c:v>
                </c:pt>
                <c:pt idx="1">
                  <c:v>1201364424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57-4F51-A7BD-877E7BAE0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23</a:t>
            </a:r>
            <a:r>
              <a:rPr lang="ja-JP" altLang="en-US"/>
              <a:t>．共同取組活動への配分割合別集落協定数</a:t>
            </a:r>
          </a:p>
        </c:rich>
      </c:tx>
      <c:layout>
        <c:manualLayout>
          <c:xMode val="edge"/>
          <c:yMode val="edge"/>
          <c:x val="0.26770849737532809"/>
          <c:y val="0.922839506172839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18758940703537"/>
          <c:y val="0.14814859468012961"/>
          <c:w val="0.86093815684368658"/>
          <c:h val="0.646092803214413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8363709781030481E-4"/>
                  <c:y val="-1.76624218269014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692-47CD-AF82-478F2DA13304}"/>
                </c:ext>
              </c:extLst>
            </c:dLbl>
            <c:dLbl>
              <c:idx val="1"/>
              <c:layout>
                <c:manualLayout>
                  <c:x val="2.4925206027567805E-3"/>
                  <c:y val="-2.7572016460905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692-47CD-AF82-478F2DA13304}"/>
                </c:ext>
              </c:extLst>
            </c:dLbl>
            <c:dLbl>
              <c:idx val="2"/>
              <c:layout>
                <c:manualLayout>
                  <c:x val="-1.86113099498969E-4"/>
                  <c:y val="-1.80739444606462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692-47CD-AF82-478F2DA13304}"/>
                </c:ext>
              </c:extLst>
            </c:dLbl>
            <c:dLbl>
              <c:idx val="3"/>
              <c:layout>
                <c:manualLayout>
                  <c:x val="1.302149294275193E-3"/>
                  <c:y val="8.57635851074178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454545454545449E-2"/>
                      <c:h val="0.113991769547325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692-47CD-AF82-478F2DA13304}"/>
                </c:ext>
              </c:extLst>
            </c:dLbl>
            <c:dLbl>
              <c:idx val="4"/>
              <c:layout>
                <c:manualLayout>
                  <c:x val="1.860236220472441E-4"/>
                  <c:y val="1.02465895466770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692-47CD-AF82-478F2DA13304}"/>
                </c:ext>
              </c:extLst>
            </c:dLbl>
            <c:dLbl>
              <c:idx val="5"/>
              <c:layout>
                <c:manualLayout>
                  <c:x val="2.331002331002331E-3"/>
                  <c:y val="-1.646090534979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692-47CD-AF82-478F2DA13304}"/>
                </c:ext>
              </c:extLst>
            </c:dLbl>
            <c:dLbl>
              <c:idx val="6"/>
              <c:layout>
                <c:manualLayout>
                  <c:x val="0"/>
                  <c:y val="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692-47CD-AF82-478F2DA13304}"/>
                </c:ext>
              </c:extLst>
            </c:dLbl>
            <c:dLbl>
              <c:idx val="7"/>
              <c:layout>
                <c:manualLayout>
                  <c:x val="-2.0833333333333333E-3"/>
                  <c:y val="8.2304526748970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692-47CD-AF82-478F2DA1330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図23!$B$3:$B$10</c:f>
              <c:strCache>
                <c:ptCount val="8"/>
                <c:pt idx="0">
                  <c:v>0%</c:v>
                </c:pt>
                <c:pt idx="1">
                  <c:v>20%未満</c:v>
                </c:pt>
                <c:pt idx="2">
                  <c:v>20～40%未満</c:v>
                </c:pt>
                <c:pt idx="3">
                  <c:v>40～50%未満</c:v>
                </c:pt>
                <c:pt idx="4">
                  <c:v>50～60%未満</c:v>
                </c:pt>
                <c:pt idx="5">
                  <c:v>60～80%未満</c:v>
                </c:pt>
                <c:pt idx="6">
                  <c:v>80～100%未満</c:v>
                </c:pt>
                <c:pt idx="7">
                  <c:v>100%</c:v>
                </c:pt>
              </c:strCache>
            </c:strRef>
          </c:cat>
          <c:val>
            <c:numRef>
              <c:f>図23!$C$3:$C$10</c:f>
              <c:numCache>
                <c:formatCode>General</c:formatCode>
                <c:ptCount val="8"/>
                <c:pt idx="0">
                  <c:v>37</c:v>
                </c:pt>
                <c:pt idx="1">
                  <c:v>88</c:v>
                </c:pt>
                <c:pt idx="2">
                  <c:v>197</c:v>
                </c:pt>
                <c:pt idx="3">
                  <c:v>215</c:v>
                </c:pt>
                <c:pt idx="4">
                  <c:v>453</c:v>
                </c:pt>
                <c:pt idx="5">
                  <c:v>123</c:v>
                </c:pt>
                <c:pt idx="6">
                  <c:v>12</c:v>
                </c:pt>
                <c:pt idx="7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92-47CD-AF82-478F2DA13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62400"/>
        <c:axId val="117863936"/>
      </c:barChart>
      <c:catAx>
        <c:axId val="1178624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1786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863936"/>
        <c:scaling>
          <c:orientation val="minMax"/>
          <c:max val="5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協定数</a:t>
                </a:r>
              </a:p>
            </c:rich>
          </c:tx>
          <c:layout>
            <c:manualLayout>
              <c:xMode val="edge"/>
              <c:yMode val="edge"/>
              <c:x val="2.34375E-2"/>
              <c:y val="0.466050678850328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17862400"/>
        <c:crosses val="autoZero"/>
        <c:crossBetween val="between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+mj-ea"/>
                <a:ea typeface="+mj-ea"/>
              </a:defRPr>
            </a:pPr>
            <a:r>
              <a:rPr lang="ja-JP" b="0">
                <a:latin typeface="+mj-ea"/>
                <a:ea typeface="+mj-ea"/>
              </a:rPr>
              <a:t>図</a:t>
            </a:r>
            <a:r>
              <a:rPr lang="en-US" b="0">
                <a:latin typeface="+mj-ea"/>
                <a:ea typeface="+mj-ea"/>
              </a:rPr>
              <a:t>25</a:t>
            </a:r>
            <a:r>
              <a:rPr lang="ja-JP" b="0">
                <a:latin typeface="+mj-ea"/>
                <a:ea typeface="+mj-ea"/>
              </a:rPr>
              <a:t>．共同取組活動費の使途（割合）</a:t>
            </a:r>
          </a:p>
        </c:rich>
      </c:tx>
      <c:layout>
        <c:manualLayout>
          <c:xMode val="edge"/>
          <c:yMode val="edge"/>
          <c:x val="0.33200281814564558"/>
          <c:y val="0.9418961266205361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491879579030368"/>
          <c:y val="0.11629478133415143"/>
          <c:w val="0.48041644179363346"/>
          <c:h val="0.62696549399215007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2AE-4260-A5E6-77026062461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2AE-4260-A5E6-770260624614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2AE-4260-A5E6-770260624614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2AE-4260-A5E6-770260624614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72AE-4260-A5E6-770260624614}"/>
              </c:ext>
            </c:extLst>
          </c:dPt>
          <c:dPt>
            <c:idx val="5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72AE-4260-A5E6-770260624614}"/>
              </c:ext>
            </c:extLst>
          </c:dPt>
          <c:dPt>
            <c:idx val="6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72AE-4260-A5E6-770260624614}"/>
              </c:ext>
            </c:extLst>
          </c:dPt>
          <c:dPt>
            <c:idx val="7"/>
            <c:bubble3D val="0"/>
            <c:spPr>
              <a:solidFill>
                <a:schemeClr val="tx2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72AE-4260-A5E6-770260624614}"/>
              </c:ext>
            </c:extLst>
          </c:dPt>
          <c:dPt>
            <c:idx val="12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72AE-4260-A5E6-770260624614}"/>
              </c:ext>
            </c:extLst>
          </c:dPt>
          <c:dPt>
            <c:idx val="1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72AE-4260-A5E6-770260624614}"/>
              </c:ext>
            </c:extLst>
          </c:dPt>
          <c:dLbls>
            <c:dLbl>
              <c:idx val="0"/>
              <c:layout>
                <c:manualLayout>
                  <c:x val="-0.10104643734554043"/>
                  <c:y val="0.13929940575609867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2AE-4260-A5E6-770260624614}"/>
                </c:ext>
              </c:extLst>
            </c:dLbl>
            <c:dLbl>
              <c:idx val="1"/>
              <c:layout>
                <c:manualLayout>
                  <c:x val="-0.10209367778958089"/>
                  <c:y val="6.530615491245413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2AE-4260-A5E6-770260624614}"/>
                </c:ext>
              </c:extLst>
            </c:dLbl>
            <c:dLbl>
              <c:idx val="3"/>
              <c:layout>
                <c:manualLayout>
                  <c:x val="0.20207372231723517"/>
                  <c:y val="-0.3099173687709077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2AE-4260-A5E6-770260624614}"/>
                </c:ext>
              </c:extLst>
            </c:dLbl>
            <c:dLbl>
              <c:idx val="4"/>
              <c:layout>
                <c:manualLayout>
                  <c:x val="0.22525831459601178"/>
                  <c:y val="-0.249846518841973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2AE-4260-A5E6-770260624614}"/>
                </c:ext>
              </c:extLst>
            </c:dLbl>
            <c:dLbl>
              <c:idx val="5"/>
              <c:layout>
                <c:manualLayout>
                  <c:x val="0.26892932484872689"/>
                  <c:y val="-0.119076519004101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2AE-4260-A5E6-770260624614}"/>
                </c:ext>
              </c:extLst>
            </c:dLbl>
            <c:dLbl>
              <c:idx val="6"/>
              <c:layout>
                <c:manualLayout>
                  <c:x val="0.3376718263028588"/>
                  <c:y val="-3.721377655521268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2AE-4260-A5E6-770260624614}"/>
                </c:ext>
              </c:extLst>
            </c:dLbl>
            <c:dLbl>
              <c:idx val="7"/>
              <c:layout>
                <c:manualLayout>
                  <c:x val="0.27642952017987837"/>
                  <c:y val="4.65050610952285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2AE-4260-A5E6-770260624614}"/>
                </c:ext>
              </c:extLst>
            </c:dLbl>
            <c:dLbl>
              <c:idx val="8"/>
              <c:layout>
                <c:manualLayout>
                  <c:x val="0.10308588493692966"/>
                  <c:y val="4.2277303703543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72AE-4260-A5E6-770260624614}"/>
                </c:ext>
              </c:extLst>
            </c:dLbl>
            <c:dLbl>
              <c:idx val="9"/>
              <c:layout>
                <c:manualLayout>
                  <c:x val="-5.0052348748578425E-2"/>
                  <c:y val="6.36330719469949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2AE-4260-A5E6-770260624614}"/>
                </c:ext>
              </c:extLst>
            </c:dLbl>
            <c:dLbl>
              <c:idx val="11"/>
              <c:layout>
                <c:manualLayout>
                  <c:x val="-0.35979112588875678"/>
                  <c:y val="4.52210074632913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2AE-4260-A5E6-770260624614}"/>
                </c:ext>
              </c:extLst>
            </c:dLbl>
            <c:dLbl>
              <c:idx val="12"/>
              <c:layout>
                <c:manualLayout>
                  <c:x val="-0.39392250996188871"/>
                  <c:y val="-4.79974491863877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2AE-4260-A5E6-770260624614}"/>
                </c:ext>
              </c:extLst>
            </c:dLbl>
            <c:dLbl>
              <c:idx val="13"/>
              <c:layout>
                <c:manualLayout>
                  <c:x val="0.13462705200792877"/>
                  <c:y val="-3.90492097578711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2AE-4260-A5E6-77026062461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>
                  <a:solidFill>
                    <a:schemeClr val="tx1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'図24,25'!$J$17:$J$30</c:f>
              <c:strCache>
                <c:ptCount val="14"/>
                <c:pt idx="0">
                  <c:v>道・水路管理費</c:v>
                </c:pt>
                <c:pt idx="1">
                  <c:v>共同利用機械購入等費</c:v>
                </c:pt>
                <c:pt idx="2">
                  <c:v>農地管理費</c:v>
                </c:pt>
                <c:pt idx="3">
                  <c:v>役員報酬</c:v>
                </c:pt>
                <c:pt idx="4">
                  <c:v>多面的機能増進活動費</c:v>
                </c:pt>
                <c:pt idx="5">
                  <c:v>鳥獣被害防止対策費</c:v>
                </c:pt>
                <c:pt idx="6">
                  <c:v>共同利用施設整備等費</c:v>
                </c:pt>
                <c:pt idx="7">
                  <c:v>研修会等費</c:v>
                </c:pt>
                <c:pt idx="8">
                  <c:v>都市住民との交流促進関係費</c:v>
                </c:pt>
                <c:pt idx="9">
                  <c:v>法人設立関係費</c:v>
                </c:pt>
                <c:pt idx="10">
                  <c:v>土地利用調整関係費</c:v>
                </c:pt>
                <c:pt idx="11">
                  <c:v>農産物等の販売促進関係費</c:v>
                </c:pt>
                <c:pt idx="12">
                  <c:v>その他</c:v>
                </c:pt>
                <c:pt idx="13">
                  <c:v>積立等計</c:v>
                </c:pt>
              </c:strCache>
            </c:strRef>
          </c:cat>
          <c:val>
            <c:numRef>
              <c:f>'図24,25'!$K$17:$K$30</c:f>
              <c:numCache>
                <c:formatCode>0</c:formatCode>
                <c:ptCount val="14"/>
                <c:pt idx="0">
                  <c:v>350714</c:v>
                </c:pt>
                <c:pt idx="1">
                  <c:v>221551</c:v>
                </c:pt>
                <c:pt idx="2">
                  <c:v>182237</c:v>
                </c:pt>
                <c:pt idx="3">
                  <c:v>99792</c:v>
                </c:pt>
                <c:pt idx="4">
                  <c:v>75242</c:v>
                </c:pt>
                <c:pt idx="5">
                  <c:v>59588</c:v>
                </c:pt>
                <c:pt idx="6">
                  <c:v>44270</c:v>
                </c:pt>
                <c:pt idx="7">
                  <c:v>28054</c:v>
                </c:pt>
                <c:pt idx="8">
                  <c:v>2992</c:v>
                </c:pt>
                <c:pt idx="9">
                  <c:v>1665</c:v>
                </c:pt>
                <c:pt idx="10">
                  <c:v>1278</c:v>
                </c:pt>
                <c:pt idx="11">
                  <c:v>641</c:v>
                </c:pt>
                <c:pt idx="12">
                  <c:v>18060</c:v>
                </c:pt>
                <c:pt idx="13">
                  <c:v>1062335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2AE-4260-A5E6-77026062461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ＭＳ 明朝" panose="02020609040205080304" pitchFamily="17" charset="-128"/>
          <a:ea typeface="ＭＳ 明朝" panose="02020609040205080304" pitchFamily="17" charset="-128"/>
        </a:defRPr>
      </a:pPr>
      <a:endParaRPr lang="ja-JP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+mj-ea"/>
                <a:ea typeface="+mj-ea"/>
              </a:defRPr>
            </a:pPr>
            <a:r>
              <a:rPr lang="ja-JP" sz="1200" b="0">
                <a:latin typeface="+mj-ea"/>
                <a:ea typeface="+mj-ea"/>
              </a:rPr>
              <a:t>図</a:t>
            </a:r>
            <a:r>
              <a:rPr lang="en-US" altLang="ja-JP" sz="1200" b="0">
                <a:latin typeface="+mj-ea"/>
                <a:ea typeface="+mj-ea"/>
              </a:rPr>
              <a:t>24</a:t>
            </a:r>
            <a:r>
              <a:rPr lang="ja-JP" sz="1200" b="0">
                <a:latin typeface="+mj-ea"/>
                <a:ea typeface="+mj-ea"/>
              </a:rPr>
              <a:t>．共同取組活動費の使途</a:t>
            </a:r>
          </a:p>
        </c:rich>
      </c:tx>
      <c:layout>
        <c:manualLayout>
          <c:xMode val="edge"/>
          <c:yMode val="edge"/>
          <c:x val="0.33245411951605791"/>
          <c:y val="0.9060240963855421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615143986793487"/>
          <c:y val="0.10829103214890017"/>
          <c:w val="0.57345090802714815"/>
          <c:h val="0.755372482054201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>
              <a:solidFill>
                <a:srgbClr val="000000"/>
              </a:solidFill>
            </a:ln>
          </c:spPr>
          <c:invertIfNegative val="0"/>
          <c:dLbls>
            <c:dLbl>
              <c:idx val="11"/>
              <c:layout>
                <c:manualLayout>
                  <c:x val="1.5122870344606951E-2"/>
                  <c:y val="-2.94507976667450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5F3-47E6-81C2-28995235572F}"/>
                </c:ext>
              </c:extLst>
            </c:dLbl>
            <c:dLbl>
              <c:idx val="13"/>
              <c:layout>
                <c:manualLayout>
                  <c:x val="-1.1129658594655544E-2"/>
                  <c:y val="4.1767068273092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5F3-47E6-81C2-28995235572F}"/>
                </c:ext>
              </c:extLst>
            </c:dLbl>
            <c:numFmt formatCode="#,##0_);[Red]\(#,##0\)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'図24,25'!$J$17:$J$30</c:f>
              <c:strCache>
                <c:ptCount val="14"/>
                <c:pt idx="0">
                  <c:v>道・水路管理費</c:v>
                </c:pt>
                <c:pt idx="1">
                  <c:v>共同利用機械購入等費</c:v>
                </c:pt>
                <c:pt idx="2">
                  <c:v>農地管理費</c:v>
                </c:pt>
                <c:pt idx="3">
                  <c:v>役員報酬</c:v>
                </c:pt>
                <c:pt idx="4">
                  <c:v>多面的機能増進活動費</c:v>
                </c:pt>
                <c:pt idx="5">
                  <c:v>鳥獣被害防止対策費</c:v>
                </c:pt>
                <c:pt idx="6">
                  <c:v>共同利用施設整備等費</c:v>
                </c:pt>
                <c:pt idx="7">
                  <c:v>研修会等費</c:v>
                </c:pt>
                <c:pt idx="8">
                  <c:v>都市住民との交流促進関係費</c:v>
                </c:pt>
                <c:pt idx="9">
                  <c:v>法人設立関係費</c:v>
                </c:pt>
                <c:pt idx="10">
                  <c:v>土地利用調整関係費</c:v>
                </c:pt>
                <c:pt idx="11">
                  <c:v>農産物等の販売促進関係費</c:v>
                </c:pt>
                <c:pt idx="12">
                  <c:v>その他</c:v>
                </c:pt>
                <c:pt idx="13">
                  <c:v>積立等計</c:v>
                </c:pt>
              </c:strCache>
            </c:strRef>
          </c:cat>
          <c:val>
            <c:numRef>
              <c:f>'図24,25'!$K$17:$K$30</c:f>
              <c:numCache>
                <c:formatCode>0</c:formatCode>
                <c:ptCount val="14"/>
                <c:pt idx="0">
                  <c:v>350714</c:v>
                </c:pt>
                <c:pt idx="1">
                  <c:v>221551</c:v>
                </c:pt>
                <c:pt idx="2">
                  <c:v>182237</c:v>
                </c:pt>
                <c:pt idx="3">
                  <c:v>99792</c:v>
                </c:pt>
                <c:pt idx="4">
                  <c:v>75242</c:v>
                </c:pt>
                <c:pt idx="5">
                  <c:v>59588</c:v>
                </c:pt>
                <c:pt idx="6">
                  <c:v>44270</c:v>
                </c:pt>
                <c:pt idx="7">
                  <c:v>28054</c:v>
                </c:pt>
                <c:pt idx="8">
                  <c:v>2992</c:v>
                </c:pt>
                <c:pt idx="9">
                  <c:v>1665</c:v>
                </c:pt>
                <c:pt idx="10">
                  <c:v>1278</c:v>
                </c:pt>
                <c:pt idx="11">
                  <c:v>641</c:v>
                </c:pt>
                <c:pt idx="12">
                  <c:v>18060</c:v>
                </c:pt>
                <c:pt idx="13">
                  <c:v>1062335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F3-47E6-81C2-289952355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84832"/>
        <c:axId val="118586368"/>
      </c:barChart>
      <c:catAx>
        <c:axId val="118584832"/>
        <c:scaling>
          <c:orientation val="maxMin"/>
        </c:scaling>
        <c:delete val="0"/>
        <c:axPos val="l"/>
        <c:numFmt formatCode="General" sourceLinked="0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crossAx val="118586368"/>
        <c:crosses val="autoZero"/>
        <c:auto val="1"/>
        <c:lblAlgn val="ctr"/>
        <c:lblOffset val="100"/>
        <c:noMultiLvlLbl val="0"/>
      </c:catAx>
      <c:valAx>
        <c:axId val="118586368"/>
        <c:scaling>
          <c:orientation val="minMax"/>
        </c:scaling>
        <c:delete val="0"/>
        <c:axPos val="t"/>
        <c:title>
          <c:tx>
            <c:rich>
              <a:bodyPr/>
              <a:lstStyle/>
              <a:p>
                <a:pPr>
                  <a:defRPr b="0"/>
                </a:pPr>
                <a:r>
                  <a:rPr lang="ja-JP" b="0"/>
                  <a:t>共同取組活動費（千円）</a:t>
                </a:r>
              </a:p>
            </c:rich>
          </c:tx>
          <c:layout>
            <c:manualLayout>
              <c:xMode val="edge"/>
              <c:yMode val="edge"/>
              <c:x val="0.55697658827704977"/>
              <c:y val="1.5684786389652728E-4"/>
            </c:manualLayout>
          </c:layout>
          <c:overlay val="0"/>
        </c:title>
        <c:numFmt formatCode="#,##0_ " sourceLinked="0"/>
        <c:majorTickMark val="in"/>
        <c:minorTickMark val="none"/>
        <c:tickLblPos val="nextTo"/>
        <c:spPr>
          <a:ln>
            <a:solidFill>
              <a:srgbClr val="000000"/>
            </a:solidFill>
          </a:ln>
        </c:spPr>
        <c:crossAx val="1185848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5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1750351</cp:lastModifiedBy>
  <cp:revision>24</cp:revision>
  <cp:lastPrinted>2023-08-31T09:11:00Z</cp:lastPrinted>
  <dcterms:created xsi:type="dcterms:W3CDTF">2020-09-02T11:19:00Z</dcterms:created>
  <dcterms:modified xsi:type="dcterms:W3CDTF">2024-08-30T04:16:00Z</dcterms:modified>
</cp:coreProperties>
</file>