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76" w:lineRule="auto" w:before="48"/>
        <w:ind w:left="834" w:right="625"/>
      </w:pPr>
      <w:r>
        <w:rPr>
          <w:spacing w:val="-2"/>
        </w:rPr>
        <w:t>土壌・地下水汚染に係る事業場（大同ステンレス株式会社名古屋工場）周辺の井戸水調査結果について</w:t>
      </w:r>
    </w:p>
    <w:p>
      <w:pPr>
        <w:pStyle w:val="BodyText"/>
        <w:spacing w:before="11"/>
        <w:rPr>
          <w:sz w:val="27"/>
        </w:rPr>
      </w:pPr>
    </w:p>
    <w:p>
      <w:pPr>
        <w:pStyle w:val="BodyText"/>
        <w:ind w:left="355"/>
      </w:pPr>
      <w:r>
        <w:rPr/>
        <w:t>大同ステンレス株式会社名古屋工場（名古屋市港区竜宮町10番地）</w:t>
      </w:r>
      <w:r>
        <w:rPr>
          <w:spacing w:val="-2"/>
        </w:rPr>
        <w:t>の土壌・地下水汚染</w:t>
      </w:r>
    </w:p>
    <w:p>
      <w:pPr>
        <w:pStyle w:val="BodyText"/>
        <w:spacing w:line="278" w:lineRule="auto" w:before="48"/>
        <w:ind w:left="114" w:right="105"/>
      </w:pPr>
      <w:r>
        <w:rPr>
          <w:spacing w:val="-4"/>
        </w:rPr>
        <w:t>（3月17日公表済）に係る周辺井戸水調査の結果について、下記のとおりとりまとめました</w:t>
      </w:r>
      <w:r>
        <w:rPr>
          <w:spacing w:val="-2"/>
        </w:rPr>
        <w:t>のでお知らせします。</w:t>
      </w:r>
    </w:p>
    <w:p>
      <w:pPr>
        <w:pStyle w:val="BodyText"/>
        <w:spacing w:before="5"/>
        <w:rPr>
          <w:sz w:val="27"/>
        </w:rPr>
      </w:pPr>
    </w:p>
    <w:p>
      <w:pPr>
        <w:pStyle w:val="BodyText"/>
        <w:ind w:left="6"/>
        <w:jc w:val="center"/>
      </w:pPr>
      <w:r>
        <w:rPr/>
        <w:t>記</w:t>
      </w:r>
    </w:p>
    <w:p>
      <w:pPr>
        <w:pStyle w:val="BodyText"/>
        <w:spacing w:before="6"/>
        <w:rPr>
          <w:sz w:val="31"/>
        </w:rPr>
      </w:pPr>
    </w:p>
    <w:p>
      <w:pPr>
        <w:pStyle w:val="BodyText"/>
        <w:tabs>
          <w:tab w:pos="593" w:val="left" w:leader="none"/>
        </w:tabs>
        <w:ind w:left="114"/>
      </w:pPr>
      <w:r>
        <w:rPr>
          <w:spacing w:val="-10"/>
        </w:rPr>
        <w:t>１</w:t>
      </w:r>
      <w:r>
        <w:rPr/>
        <w:tab/>
      </w:r>
      <w:r>
        <w:rPr>
          <w:spacing w:val="-4"/>
        </w:rPr>
        <w:t>調査日</w:t>
      </w:r>
    </w:p>
    <w:p>
      <w:pPr>
        <w:pStyle w:val="BodyText"/>
        <w:spacing w:before="47"/>
        <w:ind w:left="594"/>
      </w:pPr>
      <w:r>
        <w:rPr/>
        <w:t>平成18年3月29日（水</w:t>
      </w:r>
      <w:r>
        <w:rPr>
          <w:spacing w:val="-10"/>
        </w:rPr>
        <w:t>）</w:t>
      </w:r>
    </w:p>
    <w:p>
      <w:pPr>
        <w:pStyle w:val="BodyText"/>
        <w:spacing w:before="6"/>
        <w:rPr>
          <w:sz w:val="31"/>
        </w:rPr>
      </w:pPr>
    </w:p>
    <w:p>
      <w:pPr>
        <w:pStyle w:val="BodyText"/>
        <w:tabs>
          <w:tab w:pos="593" w:val="left" w:leader="none"/>
        </w:tabs>
        <w:ind w:left="114"/>
      </w:pPr>
      <w:r>
        <w:rPr>
          <w:spacing w:val="-10"/>
        </w:rPr>
        <w:t>２</w:t>
      </w:r>
      <w:r>
        <w:rPr/>
        <w:tab/>
      </w:r>
      <w:r>
        <w:rPr>
          <w:spacing w:val="-3"/>
        </w:rPr>
        <w:t>調査対象</w:t>
      </w:r>
    </w:p>
    <w:p>
      <w:pPr>
        <w:pStyle w:val="BodyText"/>
        <w:tabs>
          <w:tab w:pos="1793" w:val="left" w:leader="none"/>
        </w:tabs>
        <w:spacing w:before="47"/>
        <w:ind w:left="594"/>
      </w:pPr>
      <w:r>
        <w:rPr/>
        <w:t>周辺井</w:t>
      </w:r>
      <w:r>
        <w:rPr>
          <w:spacing w:val="-10"/>
        </w:rPr>
        <w:t>戸</w:t>
      </w:r>
      <w:r>
        <w:rPr/>
        <w:tab/>
        <w:t>2</w:t>
      </w:r>
      <w:r>
        <w:rPr>
          <w:spacing w:val="-10"/>
        </w:rPr>
        <w:t>本</w:t>
      </w:r>
    </w:p>
    <w:p>
      <w:pPr>
        <w:pStyle w:val="BodyText"/>
        <w:spacing w:before="5"/>
        <w:rPr>
          <w:sz w:val="31"/>
        </w:rPr>
      </w:pPr>
    </w:p>
    <w:p>
      <w:pPr>
        <w:pStyle w:val="BodyText"/>
        <w:ind w:left="114"/>
        <w:jc w:val="both"/>
      </w:pPr>
      <w:r>
        <w:rPr/>
        <w:t>３</w:t>
      </w:r>
      <w:r>
        <w:rPr>
          <w:spacing w:val="60"/>
          <w:w w:val="150"/>
        </w:rPr>
        <w:t> </w:t>
      </w:r>
      <w:r>
        <w:rPr>
          <w:spacing w:val="-3"/>
        </w:rPr>
        <w:t>調査結果</w:t>
      </w:r>
    </w:p>
    <w:p>
      <w:pPr>
        <w:pStyle w:val="BodyText"/>
        <w:spacing w:line="278" w:lineRule="auto" w:before="48"/>
        <w:ind w:left="354" w:right="104" w:firstLine="241"/>
        <w:jc w:val="both"/>
      </w:pPr>
      <w:r>
        <w:rPr>
          <w:spacing w:val="-2"/>
        </w:rPr>
        <w:t>工場敷地内の地下水で指定基準等を超えて検出された汚染物質等について、周辺井戸水調査を行いました。結果は、調査した全ての井戸において環境基準に適合していまし</w:t>
      </w:r>
      <w:r>
        <w:rPr>
          <w:spacing w:val="-6"/>
        </w:rPr>
        <w:t>た。</w:t>
      </w:r>
    </w:p>
    <w:p>
      <w:pPr>
        <w:pStyle w:val="BodyText"/>
        <w:spacing w:line="302" w:lineRule="exact" w:after="24"/>
        <w:ind w:right="625"/>
        <w:jc w:val="right"/>
      </w:pPr>
      <w:r>
        <w:rPr/>
        <w:t>単位</w:t>
      </w:r>
      <w:r>
        <w:rPr>
          <w:spacing w:val="-2"/>
        </w:rPr>
        <w:t>：mg/L</w:t>
      </w:r>
    </w:p>
    <w:tbl>
      <w:tblPr>
        <w:tblW w:w="0" w:type="auto"/>
        <w:jc w:val="lef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4"/>
        <w:gridCol w:w="2694"/>
        <w:gridCol w:w="1937"/>
        <w:gridCol w:w="1938"/>
        <w:gridCol w:w="1356"/>
      </w:tblGrid>
      <w:tr>
        <w:trPr>
          <w:trHeight w:val="411" w:hRule="atLeast"/>
        </w:trPr>
        <w:tc>
          <w:tcPr>
            <w:tcW w:w="3968" w:type="dxa"/>
            <w:gridSpan w:val="2"/>
          </w:tcPr>
          <w:p>
            <w:pPr>
              <w:pStyle w:val="TableParagraph"/>
              <w:tabs>
                <w:tab w:pos="1864" w:val="left" w:leader="none"/>
                <w:tab w:pos="2824" w:val="left" w:leader="none"/>
              </w:tabs>
              <w:ind w:left="904"/>
              <w:rPr>
                <w:sz w:val="24"/>
              </w:rPr>
            </w:pPr>
            <w:r>
              <w:rPr>
                <w:spacing w:val="-10"/>
                <w:sz w:val="24"/>
              </w:rPr>
              <w:t>所</w:t>
            </w:r>
            <w:r>
              <w:rPr>
                <w:sz w:val="24"/>
              </w:rPr>
              <w:tab/>
            </w:r>
            <w:r>
              <w:rPr>
                <w:spacing w:val="-10"/>
                <w:sz w:val="24"/>
              </w:rPr>
              <w:t>在</w:t>
            </w:r>
            <w:r>
              <w:rPr>
                <w:sz w:val="24"/>
              </w:rPr>
              <w:tab/>
            </w:r>
            <w:r>
              <w:rPr>
                <w:spacing w:val="-10"/>
                <w:sz w:val="24"/>
              </w:rPr>
              <w:t>地</w:t>
            </w:r>
          </w:p>
        </w:tc>
        <w:tc>
          <w:tcPr>
            <w:tcW w:w="1937" w:type="dxa"/>
          </w:tcPr>
          <w:p>
            <w:pPr>
              <w:pStyle w:val="TableParagraph"/>
              <w:ind w:left="0" w:right="356"/>
              <w:jc w:val="right"/>
              <w:rPr>
                <w:sz w:val="24"/>
              </w:rPr>
            </w:pPr>
            <w:r>
              <w:rPr>
                <w:spacing w:val="-2"/>
                <w:sz w:val="24"/>
              </w:rPr>
              <w:t>南区七条町</w:t>
            </w:r>
          </w:p>
        </w:tc>
        <w:tc>
          <w:tcPr>
            <w:tcW w:w="1938" w:type="dxa"/>
          </w:tcPr>
          <w:p>
            <w:pPr>
              <w:pStyle w:val="TableParagraph"/>
              <w:ind w:left="368"/>
              <w:rPr>
                <w:sz w:val="24"/>
              </w:rPr>
            </w:pPr>
            <w:r>
              <w:rPr>
                <w:spacing w:val="-2"/>
                <w:sz w:val="24"/>
              </w:rPr>
              <w:t>南区七条町</w:t>
            </w:r>
          </w:p>
        </w:tc>
        <w:tc>
          <w:tcPr>
            <w:tcW w:w="1356" w:type="dxa"/>
            <w:vMerge w:val="restart"/>
          </w:tcPr>
          <w:p>
            <w:pPr>
              <w:pStyle w:val="TableParagraph"/>
              <w:spacing w:before="0"/>
              <w:ind w:left="0"/>
              <w:rPr>
                <w:sz w:val="26"/>
              </w:rPr>
            </w:pPr>
          </w:p>
          <w:p>
            <w:pPr>
              <w:pStyle w:val="TableParagraph"/>
              <w:spacing w:before="11"/>
              <w:ind w:left="0"/>
              <w:rPr>
                <w:sz w:val="25"/>
              </w:rPr>
            </w:pPr>
          </w:p>
          <w:p>
            <w:pPr>
              <w:pStyle w:val="TableParagraph"/>
              <w:spacing w:line="278" w:lineRule="auto" w:before="0"/>
              <w:ind w:left="198" w:right="187"/>
              <w:rPr>
                <w:sz w:val="24"/>
              </w:rPr>
            </w:pPr>
            <w:r>
              <w:rPr>
                <w:spacing w:val="-4"/>
                <w:sz w:val="24"/>
              </w:rPr>
              <w:t>地下水の</w:t>
            </w:r>
            <w:r>
              <w:rPr>
                <w:spacing w:val="-3"/>
                <w:sz w:val="24"/>
              </w:rPr>
              <w:t>環境基準</w:t>
            </w:r>
          </w:p>
        </w:tc>
      </w:tr>
      <w:tr>
        <w:trPr>
          <w:trHeight w:val="766" w:hRule="atLeast"/>
        </w:trPr>
        <w:tc>
          <w:tcPr>
            <w:tcW w:w="3968" w:type="dxa"/>
            <w:gridSpan w:val="2"/>
          </w:tcPr>
          <w:p>
            <w:pPr>
              <w:pStyle w:val="TableParagraph"/>
              <w:spacing w:line="350" w:lineRule="atLeast" w:before="10"/>
              <w:ind w:left="784" w:right="651" w:hanging="120"/>
              <w:rPr>
                <w:sz w:val="24"/>
              </w:rPr>
            </w:pPr>
            <w:r>
              <w:rPr>
                <w:spacing w:val="-2"/>
                <w:sz w:val="24"/>
              </w:rPr>
              <w:t>大同ステンレス株式会社名古屋工場からの距離</w:t>
            </w:r>
          </w:p>
        </w:tc>
        <w:tc>
          <w:tcPr>
            <w:tcW w:w="1937" w:type="dxa"/>
          </w:tcPr>
          <w:p>
            <w:pPr>
              <w:pStyle w:val="TableParagraph"/>
              <w:spacing w:before="229"/>
              <w:ind w:left="488"/>
              <w:rPr>
                <w:sz w:val="24"/>
              </w:rPr>
            </w:pPr>
            <w:r>
              <w:rPr>
                <w:sz w:val="24"/>
              </w:rPr>
              <w:t>東約</w:t>
            </w:r>
            <w:r>
              <w:rPr>
                <w:spacing w:val="-4"/>
                <w:sz w:val="24"/>
              </w:rPr>
              <w:t>450m</w:t>
            </w:r>
          </w:p>
        </w:tc>
        <w:tc>
          <w:tcPr>
            <w:tcW w:w="1938" w:type="dxa"/>
          </w:tcPr>
          <w:p>
            <w:pPr>
              <w:pStyle w:val="TableParagraph"/>
              <w:spacing w:before="229"/>
              <w:ind w:left="368"/>
              <w:rPr>
                <w:sz w:val="24"/>
              </w:rPr>
            </w:pPr>
            <w:r>
              <w:rPr>
                <w:sz w:val="24"/>
              </w:rPr>
              <w:t>北東約</w:t>
            </w:r>
            <w:r>
              <w:rPr>
                <w:spacing w:val="-4"/>
                <w:sz w:val="24"/>
              </w:rPr>
              <w:t>300m</w:t>
            </w:r>
          </w:p>
        </w:tc>
        <w:tc>
          <w:tcPr>
            <w:tcW w:w="1356" w:type="dxa"/>
            <w:vMerge/>
            <w:tcBorders>
              <w:top w:val="nil"/>
            </w:tcBorders>
          </w:tcPr>
          <w:p>
            <w:pPr>
              <w:rPr>
                <w:sz w:val="2"/>
                <w:szCs w:val="2"/>
              </w:rPr>
            </w:pPr>
          </w:p>
        </w:tc>
      </w:tr>
      <w:tr>
        <w:trPr>
          <w:trHeight w:val="411" w:hRule="atLeast"/>
        </w:trPr>
        <w:tc>
          <w:tcPr>
            <w:tcW w:w="3968" w:type="dxa"/>
            <w:gridSpan w:val="2"/>
          </w:tcPr>
          <w:p>
            <w:pPr>
              <w:pStyle w:val="TableParagraph"/>
              <w:tabs>
                <w:tab w:pos="2824" w:val="left" w:leader="none"/>
              </w:tabs>
              <w:ind w:left="904"/>
              <w:rPr>
                <w:sz w:val="24"/>
              </w:rPr>
            </w:pPr>
            <w:r>
              <w:rPr>
                <w:spacing w:val="-10"/>
                <w:sz w:val="24"/>
              </w:rPr>
              <w:t>用</w:t>
            </w:r>
            <w:r>
              <w:rPr>
                <w:sz w:val="24"/>
              </w:rPr>
              <w:tab/>
            </w:r>
            <w:r>
              <w:rPr>
                <w:spacing w:val="-10"/>
                <w:sz w:val="24"/>
              </w:rPr>
              <w:t>途</w:t>
            </w:r>
          </w:p>
        </w:tc>
        <w:tc>
          <w:tcPr>
            <w:tcW w:w="1937" w:type="dxa"/>
          </w:tcPr>
          <w:p>
            <w:pPr>
              <w:pStyle w:val="TableParagraph"/>
              <w:rPr>
                <w:sz w:val="24"/>
              </w:rPr>
            </w:pPr>
            <w:r>
              <w:rPr>
                <w:spacing w:val="-4"/>
                <w:sz w:val="24"/>
              </w:rPr>
              <w:t>工業用</w:t>
            </w:r>
          </w:p>
        </w:tc>
        <w:tc>
          <w:tcPr>
            <w:tcW w:w="1938" w:type="dxa"/>
          </w:tcPr>
          <w:p>
            <w:pPr>
              <w:pStyle w:val="TableParagraph"/>
              <w:rPr>
                <w:sz w:val="24"/>
              </w:rPr>
            </w:pPr>
            <w:r>
              <w:rPr>
                <w:spacing w:val="-4"/>
                <w:sz w:val="24"/>
              </w:rPr>
              <w:t>工業用</w:t>
            </w:r>
          </w:p>
        </w:tc>
        <w:tc>
          <w:tcPr>
            <w:tcW w:w="1356" w:type="dxa"/>
            <w:vMerge/>
            <w:tcBorders>
              <w:top w:val="nil"/>
            </w:tcBorders>
          </w:tcPr>
          <w:p>
            <w:pPr>
              <w:rPr>
                <w:sz w:val="2"/>
                <w:szCs w:val="2"/>
              </w:rPr>
            </w:pPr>
          </w:p>
        </w:tc>
      </w:tr>
      <w:tr>
        <w:trPr>
          <w:trHeight w:val="410" w:hRule="atLeast"/>
        </w:trPr>
        <w:tc>
          <w:tcPr>
            <w:tcW w:w="3968" w:type="dxa"/>
            <w:gridSpan w:val="2"/>
          </w:tcPr>
          <w:p>
            <w:pPr>
              <w:pStyle w:val="TableParagraph"/>
              <w:ind w:left="904"/>
              <w:rPr>
                <w:sz w:val="24"/>
              </w:rPr>
            </w:pPr>
            <w:r>
              <w:rPr>
                <w:spacing w:val="-2"/>
                <w:sz w:val="24"/>
              </w:rPr>
              <w:t>ストレーナーの位置</w:t>
            </w:r>
          </w:p>
        </w:tc>
        <w:tc>
          <w:tcPr>
            <w:tcW w:w="1937" w:type="dxa"/>
          </w:tcPr>
          <w:p>
            <w:pPr>
              <w:pStyle w:val="TableParagraph"/>
              <w:ind w:left="0" w:right="416"/>
              <w:jc w:val="right"/>
              <w:rPr>
                <w:sz w:val="24"/>
              </w:rPr>
            </w:pPr>
            <w:r>
              <w:rPr>
                <w:spacing w:val="-2"/>
                <w:sz w:val="24"/>
              </w:rPr>
              <w:t>170～200m</w:t>
            </w:r>
          </w:p>
        </w:tc>
        <w:tc>
          <w:tcPr>
            <w:tcW w:w="1938" w:type="dxa"/>
          </w:tcPr>
          <w:p>
            <w:pPr>
              <w:pStyle w:val="TableParagraph"/>
              <w:ind w:left="428"/>
              <w:rPr>
                <w:sz w:val="24"/>
              </w:rPr>
            </w:pPr>
            <w:r>
              <w:rPr>
                <w:spacing w:val="-2"/>
                <w:sz w:val="24"/>
              </w:rPr>
              <w:t>110～115m</w:t>
            </w:r>
          </w:p>
        </w:tc>
        <w:tc>
          <w:tcPr>
            <w:tcW w:w="1356" w:type="dxa"/>
            <w:vMerge/>
            <w:tcBorders>
              <w:top w:val="nil"/>
            </w:tcBorders>
          </w:tcPr>
          <w:p>
            <w:pPr>
              <w:rPr>
                <w:sz w:val="2"/>
                <w:szCs w:val="2"/>
              </w:rPr>
            </w:pPr>
          </w:p>
        </w:tc>
      </w:tr>
      <w:tr>
        <w:trPr>
          <w:trHeight w:val="461" w:hRule="atLeast"/>
        </w:trPr>
        <w:tc>
          <w:tcPr>
            <w:tcW w:w="1274" w:type="dxa"/>
            <w:vMerge w:val="restart"/>
          </w:tcPr>
          <w:p>
            <w:pPr>
              <w:pStyle w:val="TableParagraph"/>
              <w:spacing w:before="0"/>
              <w:ind w:left="0"/>
              <w:rPr>
                <w:sz w:val="26"/>
              </w:rPr>
            </w:pPr>
          </w:p>
          <w:p>
            <w:pPr>
              <w:pStyle w:val="TableParagraph"/>
              <w:spacing w:before="8"/>
              <w:ind w:left="0"/>
              <w:rPr>
                <w:sz w:val="33"/>
              </w:rPr>
            </w:pPr>
          </w:p>
          <w:p>
            <w:pPr>
              <w:pStyle w:val="TableParagraph"/>
              <w:spacing w:before="0"/>
              <w:ind w:left="156"/>
              <w:rPr>
                <w:sz w:val="24"/>
              </w:rPr>
            </w:pPr>
            <w:r>
              <w:rPr>
                <w:spacing w:val="-3"/>
                <w:sz w:val="24"/>
              </w:rPr>
              <w:t>調査項目</w:t>
            </w:r>
          </w:p>
        </w:tc>
        <w:tc>
          <w:tcPr>
            <w:tcW w:w="2694" w:type="dxa"/>
          </w:tcPr>
          <w:p>
            <w:pPr>
              <w:pStyle w:val="TableParagraph"/>
              <w:spacing w:before="68"/>
              <w:ind w:left="108"/>
              <w:rPr>
                <w:sz w:val="24"/>
              </w:rPr>
            </w:pPr>
            <w:r>
              <w:rPr>
                <w:spacing w:val="74"/>
                <w:sz w:val="24"/>
              </w:rPr>
              <w:t>1,1-</w:t>
            </w:r>
            <w:r>
              <w:rPr>
                <w:spacing w:val="63"/>
                <w:sz w:val="24"/>
              </w:rPr>
              <w:t>ｼﾞｸﾛﾛｴﾁﾚﾝ </w:t>
            </w:r>
          </w:p>
        </w:tc>
        <w:tc>
          <w:tcPr>
            <w:tcW w:w="1937" w:type="dxa"/>
          </w:tcPr>
          <w:p>
            <w:pPr>
              <w:pStyle w:val="TableParagraph"/>
              <w:spacing w:before="76"/>
              <w:rPr>
                <w:sz w:val="24"/>
              </w:rPr>
            </w:pPr>
            <w:r>
              <w:rPr>
                <w:spacing w:val="-2"/>
                <w:sz w:val="24"/>
              </w:rPr>
              <w:t>&lt;0.002</w:t>
            </w:r>
          </w:p>
        </w:tc>
        <w:tc>
          <w:tcPr>
            <w:tcW w:w="1938" w:type="dxa"/>
          </w:tcPr>
          <w:p>
            <w:pPr>
              <w:pStyle w:val="TableParagraph"/>
              <w:spacing w:before="76"/>
              <w:rPr>
                <w:sz w:val="24"/>
              </w:rPr>
            </w:pPr>
            <w:r>
              <w:rPr>
                <w:spacing w:val="-2"/>
                <w:sz w:val="24"/>
              </w:rPr>
              <w:t>&lt;0.002</w:t>
            </w:r>
          </w:p>
        </w:tc>
        <w:tc>
          <w:tcPr>
            <w:tcW w:w="1356" w:type="dxa"/>
          </w:tcPr>
          <w:p>
            <w:pPr>
              <w:pStyle w:val="TableParagraph"/>
              <w:spacing w:before="83"/>
              <w:ind w:left="198"/>
              <w:rPr>
                <w:sz w:val="24"/>
              </w:rPr>
            </w:pPr>
            <w:r>
              <w:rPr>
                <w:sz w:val="24"/>
              </w:rPr>
              <w:t>0.02</w:t>
            </w:r>
            <w:r>
              <w:rPr>
                <w:spacing w:val="-5"/>
                <w:sz w:val="24"/>
              </w:rPr>
              <w:t>以下</w:t>
            </w:r>
          </w:p>
        </w:tc>
      </w:tr>
      <w:tr>
        <w:trPr>
          <w:trHeight w:val="460" w:hRule="atLeast"/>
        </w:trPr>
        <w:tc>
          <w:tcPr>
            <w:tcW w:w="1274" w:type="dxa"/>
            <w:vMerge/>
            <w:tcBorders>
              <w:top w:val="nil"/>
            </w:tcBorders>
          </w:tcPr>
          <w:p>
            <w:pPr>
              <w:rPr>
                <w:sz w:val="2"/>
                <w:szCs w:val="2"/>
              </w:rPr>
            </w:pPr>
          </w:p>
        </w:tc>
        <w:tc>
          <w:tcPr>
            <w:tcW w:w="2694" w:type="dxa"/>
          </w:tcPr>
          <w:p>
            <w:pPr>
              <w:pStyle w:val="TableParagraph"/>
              <w:spacing w:before="68"/>
              <w:ind w:left="108"/>
              <w:rPr>
                <w:sz w:val="24"/>
              </w:rPr>
            </w:pPr>
            <w:r>
              <w:rPr>
                <w:spacing w:val="34"/>
                <w:sz w:val="24"/>
              </w:rPr>
              <w:t>ｼｽ-1,2-</w:t>
            </w:r>
            <w:r>
              <w:rPr>
                <w:spacing w:val="28"/>
                <w:sz w:val="24"/>
              </w:rPr>
              <w:t>ｼﾞｸﾛﾛｴﾁﾚﾝ </w:t>
            </w:r>
          </w:p>
        </w:tc>
        <w:tc>
          <w:tcPr>
            <w:tcW w:w="1937" w:type="dxa"/>
          </w:tcPr>
          <w:p>
            <w:pPr>
              <w:pStyle w:val="TableParagraph"/>
              <w:spacing w:before="76"/>
              <w:rPr>
                <w:sz w:val="24"/>
              </w:rPr>
            </w:pPr>
            <w:r>
              <w:rPr>
                <w:spacing w:val="-2"/>
                <w:sz w:val="24"/>
              </w:rPr>
              <w:t>&lt;0.004</w:t>
            </w:r>
          </w:p>
        </w:tc>
        <w:tc>
          <w:tcPr>
            <w:tcW w:w="1938" w:type="dxa"/>
          </w:tcPr>
          <w:p>
            <w:pPr>
              <w:pStyle w:val="TableParagraph"/>
              <w:spacing w:before="76"/>
              <w:rPr>
                <w:sz w:val="24"/>
              </w:rPr>
            </w:pPr>
            <w:r>
              <w:rPr>
                <w:spacing w:val="-2"/>
                <w:sz w:val="24"/>
              </w:rPr>
              <w:t>&lt;0.004</w:t>
            </w:r>
          </w:p>
        </w:tc>
        <w:tc>
          <w:tcPr>
            <w:tcW w:w="1356" w:type="dxa"/>
          </w:tcPr>
          <w:p>
            <w:pPr>
              <w:pStyle w:val="TableParagraph"/>
              <w:spacing w:before="83"/>
              <w:ind w:left="198"/>
              <w:rPr>
                <w:sz w:val="24"/>
              </w:rPr>
            </w:pPr>
            <w:r>
              <w:rPr>
                <w:sz w:val="24"/>
              </w:rPr>
              <w:t>0.04</w:t>
            </w:r>
            <w:r>
              <w:rPr>
                <w:spacing w:val="-5"/>
                <w:sz w:val="24"/>
              </w:rPr>
              <w:t>以下</w:t>
            </w:r>
          </w:p>
        </w:tc>
      </w:tr>
      <w:tr>
        <w:trPr>
          <w:trHeight w:val="461" w:hRule="atLeast"/>
        </w:trPr>
        <w:tc>
          <w:tcPr>
            <w:tcW w:w="1274" w:type="dxa"/>
            <w:vMerge/>
            <w:tcBorders>
              <w:top w:val="nil"/>
            </w:tcBorders>
          </w:tcPr>
          <w:p>
            <w:pPr>
              <w:rPr>
                <w:sz w:val="2"/>
                <w:szCs w:val="2"/>
              </w:rPr>
            </w:pPr>
          </w:p>
        </w:tc>
        <w:tc>
          <w:tcPr>
            <w:tcW w:w="2694" w:type="dxa"/>
          </w:tcPr>
          <w:p>
            <w:pPr>
              <w:pStyle w:val="TableParagraph"/>
              <w:spacing w:before="68"/>
              <w:ind w:left="108"/>
              <w:rPr>
                <w:sz w:val="24"/>
              </w:rPr>
            </w:pPr>
            <w:r>
              <w:rPr>
                <w:sz w:val="24"/>
              </w:rPr>
              <w:t>ﾃ</w:t>
            </w:r>
            <w:r>
              <w:rPr>
                <w:spacing w:val="18"/>
                <w:sz w:val="24"/>
              </w:rPr>
              <w:t> </w:t>
            </w:r>
            <w:r>
              <w:rPr>
                <w:sz w:val="24"/>
              </w:rPr>
              <w:t>ﾄ</w:t>
            </w:r>
            <w:r>
              <w:rPr>
                <w:spacing w:val="18"/>
                <w:sz w:val="24"/>
              </w:rPr>
              <w:t> </w:t>
            </w:r>
            <w:r>
              <w:rPr>
                <w:sz w:val="24"/>
              </w:rPr>
              <w:t>ﾗ</w:t>
            </w:r>
            <w:r>
              <w:rPr>
                <w:spacing w:val="18"/>
                <w:sz w:val="24"/>
              </w:rPr>
              <w:t> </w:t>
            </w:r>
            <w:r>
              <w:rPr>
                <w:sz w:val="24"/>
              </w:rPr>
              <w:t>ｸ</w:t>
            </w:r>
            <w:r>
              <w:rPr>
                <w:spacing w:val="18"/>
                <w:sz w:val="24"/>
              </w:rPr>
              <w:t> </w:t>
            </w:r>
            <w:r>
              <w:rPr>
                <w:sz w:val="24"/>
              </w:rPr>
              <w:t>ﾛ</w:t>
            </w:r>
            <w:r>
              <w:rPr>
                <w:spacing w:val="18"/>
                <w:sz w:val="24"/>
              </w:rPr>
              <w:t> </w:t>
            </w:r>
            <w:r>
              <w:rPr>
                <w:sz w:val="24"/>
              </w:rPr>
              <w:t>ﾛ</w:t>
            </w:r>
            <w:r>
              <w:rPr>
                <w:spacing w:val="18"/>
                <w:sz w:val="24"/>
              </w:rPr>
              <w:t> </w:t>
            </w:r>
            <w:r>
              <w:rPr>
                <w:sz w:val="24"/>
              </w:rPr>
              <w:t>ｴ</w:t>
            </w:r>
            <w:r>
              <w:rPr>
                <w:spacing w:val="18"/>
                <w:sz w:val="24"/>
              </w:rPr>
              <w:t> </w:t>
            </w:r>
            <w:r>
              <w:rPr>
                <w:sz w:val="24"/>
              </w:rPr>
              <w:t>ﾁ</w:t>
            </w:r>
            <w:r>
              <w:rPr>
                <w:spacing w:val="18"/>
                <w:sz w:val="24"/>
              </w:rPr>
              <w:t> </w:t>
            </w:r>
            <w:r>
              <w:rPr>
                <w:sz w:val="24"/>
              </w:rPr>
              <w:t>ﾚ</w:t>
            </w:r>
            <w:r>
              <w:rPr>
                <w:spacing w:val="18"/>
                <w:sz w:val="24"/>
              </w:rPr>
              <w:t> </w:t>
            </w:r>
            <w:r>
              <w:rPr>
                <w:spacing w:val="-10"/>
                <w:sz w:val="24"/>
              </w:rPr>
              <w:t>ﾝ</w:t>
            </w:r>
          </w:p>
        </w:tc>
        <w:tc>
          <w:tcPr>
            <w:tcW w:w="1937" w:type="dxa"/>
          </w:tcPr>
          <w:p>
            <w:pPr>
              <w:pStyle w:val="TableParagraph"/>
              <w:spacing w:before="76"/>
              <w:ind w:left="548"/>
              <w:rPr>
                <w:sz w:val="24"/>
              </w:rPr>
            </w:pPr>
            <w:r>
              <w:rPr>
                <w:spacing w:val="-2"/>
                <w:sz w:val="24"/>
              </w:rPr>
              <w:t>&lt;0.0005</w:t>
            </w:r>
          </w:p>
        </w:tc>
        <w:tc>
          <w:tcPr>
            <w:tcW w:w="1938" w:type="dxa"/>
          </w:tcPr>
          <w:p>
            <w:pPr>
              <w:pStyle w:val="TableParagraph"/>
              <w:spacing w:before="76"/>
              <w:ind w:left="548"/>
              <w:rPr>
                <w:sz w:val="24"/>
              </w:rPr>
            </w:pPr>
            <w:r>
              <w:rPr>
                <w:spacing w:val="-2"/>
                <w:sz w:val="24"/>
              </w:rPr>
              <w:t>&lt;0.0005</w:t>
            </w:r>
          </w:p>
        </w:tc>
        <w:tc>
          <w:tcPr>
            <w:tcW w:w="1356" w:type="dxa"/>
          </w:tcPr>
          <w:p>
            <w:pPr>
              <w:pStyle w:val="TableParagraph"/>
              <w:spacing w:before="83"/>
              <w:ind w:left="198"/>
              <w:rPr>
                <w:sz w:val="24"/>
              </w:rPr>
            </w:pPr>
            <w:r>
              <w:rPr>
                <w:sz w:val="24"/>
              </w:rPr>
              <w:t>0.01</w:t>
            </w:r>
            <w:r>
              <w:rPr>
                <w:spacing w:val="-5"/>
                <w:sz w:val="24"/>
              </w:rPr>
              <w:t>以下</w:t>
            </w:r>
          </w:p>
        </w:tc>
      </w:tr>
      <w:tr>
        <w:trPr>
          <w:trHeight w:val="461" w:hRule="atLeast"/>
        </w:trPr>
        <w:tc>
          <w:tcPr>
            <w:tcW w:w="1274" w:type="dxa"/>
            <w:vMerge/>
            <w:tcBorders>
              <w:top w:val="nil"/>
            </w:tcBorders>
          </w:tcPr>
          <w:p>
            <w:pPr>
              <w:rPr>
                <w:sz w:val="2"/>
                <w:szCs w:val="2"/>
              </w:rPr>
            </w:pPr>
          </w:p>
        </w:tc>
        <w:tc>
          <w:tcPr>
            <w:tcW w:w="2694" w:type="dxa"/>
          </w:tcPr>
          <w:p>
            <w:pPr>
              <w:pStyle w:val="TableParagraph"/>
              <w:spacing w:before="68"/>
              <w:ind w:left="108"/>
              <w:rPr>
                <w:sz w:val="24"/>
              </w:rPr>
            </w:pPr>
            <w:r>
              <w:rPr>
                <w:sz w:val="24"/>
              </w:rPr>
              <w:t>ﾄ</w:t>
            </w:r>
            <w:r>
              <w:rPr>
                <w:spacing w:val="51"/>
                <w:sz w:val="24"/>
              </w:rPr>
              <w:t> </w:t>
            </w:r>
            <w:r>
              <w:rPr>
                <w:sz w:val="24"/>
              </w:rPr>
              <w:t>ﾘ</w:t>
            </w:r>
            <w:r>
              <w:rPr>
                <w:spacing w:val="51"/>
                <w:sz w:val="24"/>
              </w:rPr>
              <w:t> </w:t>
            </w:r>
            <w:r>
              <w:rPr>
                <w:sz w:val="24"/>
              </w:rPr>
              <w:t>ｸ</w:t>
            </w:r>
            <w:r>
              <w:rPr>
                <w:spacing w:val="51"/>
                <w:sz w:val="24"/>
              </w:rPr>
              <w:t> </w:t>
            </w:r>
            <w:r>
              <w:rPr>
                <w:sz w:val="24"/>
              </w:rPr>
              <w:t>ﾛ</w:t>
            </w:r>
            <w:r>
              <w:rPr>
                <w:spacing w:val="51"/>
                <w:sz w:val="24"/>
              </w:rPr>
              <w:t> </w:t>
            </w:r>
            <w:r>
              <w:rPr>
                <w:sz w:val="24"/>
              </w:rPr>
              <w:t>ﾛ</w:t>
            </w:r>
            <w:r>
              <w:rPr>
                <w:spacing w:val="51"/>
                <w:sz w:val="24"/>
              </w:rPr>
              <w:t> </w:t>
            </w:r>
            <w:r>
              <w:rPr>
                <w:sz w:val="24"/>
              </w:rPr>
              <w:t>ｴ</w:t>
            </w:r>
            <w:r>
              <w:rPr>
                <w:spacing w:val="51"/>
                <w:sz w:val="24"/>
              </w:rPr>
              <w:t> </w:t>
            </w:r>
            <w:r>
              <w:rPr>
                <w:sz w:val="24"/>
              </w:rPr>
              <w:t>ﾁ</w:t>
            </w:r>
            <w:r>
              <w:rPr>
                <w:spacing w:val="51"/>
                <w:sz w:val="24"/>
              </w:rPr>
              <w:t> </w:t>
            </w:r>
            <w:r>
              <w:rPr>
                <w:sz w:val="24"/>
              </w:rPr>
              <w:t>ﾚ</w:t>
            </w:r>
            <w:r>
              <w:rPr>
                <w:spacing w:val="51"/>
                <w:sz w:val="24"/>
              </w:rPr>
              <w:t> </w:t>
            </w:r>
            <w:r>
              <w:rPr>
                <w:spacing w:val="-10"/>
                <w:sz w:val="24"/>
              </w:rPr>
              <w:t>ﾝ</w:t>
            </w:r>
          </w:p>
        </w:tc>
        <w:tc>
          <w:tcPr>
            <w:tcW w:w="1937" w:type="dxa"/>
          </w:tcPr>
          <w:p>
            <w:pPr>
              <w:pStyle w:val="TableParagraph"/>
              <w:spacing w:before="76"/>
              <w:rPr>
                <w:sz w:val="24"/>
              </w:rPr>
            </w:pPr>
            <w:r>
              <w:rPr>
                <w:spacing w:val="-2"/>
                <w:sz w:val="24"/>
              </w:rPr>
              <w:t>&lt;0.002</w:t>
            </w:r>
          </w:p>
        </w:tc>
        <w:tc>
          <w:tcPr>
            <w:tcW w:w="1938" w:type="dxa"/>
          </w:tcPr>
          <w:p>
            <w:pPr>
              <w:pStyle w:val="TableParagraph"/>
              <w:spacing w:before="76"/>
              <w:rPr>
                <w:sz w:val="24"/>
              </w:rPr>
            </w:pPr>
            <w:r>
              <w:rPr>
                <w:spacing w:val="-2"/>
                <w:sz w:val="24"/>
              </w:rPr>
              <w:t>&lt;0.002</w:t>
            </w:r>
          </w:p>
        </w:tc>
        <w:tc>
          <w:tcPr>
            <w:tcW w:w="1356" w:type="dxa"/>
          </w:tcPr>
          <w:p>
            <w:pPr>
              <w:pStyle w:val="TableParagraph"/>
              <w:spacing w:before="83"/>
              <w:ind w:left="198"/>
              <w:rPr>
                <w:sz w:val="24"/>
              </w:rPr>
            </w:pPr>
            <w:r>
              <w:rPr>
                <w:sz w:val="24"/>
              </w:rPr>
              <w:t>0.03</w:t>
            </w:r>
            <w:r>
              <w:rPr>
                <w:spacing w:val="-5"/>
                <w:sz w:val="24"/>
              </w:rPr>
              <w:t>以下</w:t>
            </w:r>
          </w:p>
        </w:tc>
      </w:tr>
    </w:tbl>
    <w:p>
      <w:pPr>
        <w:pStyle w:val="BodyText"/>
        <w:spacing w:before="10"/>
        <w:rPr>
          <w:sz w:val="29"/>
        </w:rPr>
      </w:pPr>
    </w:p>
    <w:p>
      <w:pPr>
        <w:pStyle w:val="BodyText"/>
        <w:tabs>
          <w:tab w:pos="593" w:val="left" w:leader="none"/>
        </w:tabs>
        <w:ind w:left="114"/>
      </w:pPr>
      <w:r>
        <w:rPr>
          <w:spacing w:val="-10"/>
        </w:rPr>
        <w:t>４</w:t>
      </w:r>
      <w:r>
        <w:rPr/>
        <w:tab/>
      </w:r>
      <w:r>
        <w:rPr>
          <w:spacing w:val="-2"/>
        </w:rPr>
        <w:t>今後の対応</w:t>
      </w:r>
    </w:p>
    <w:p>
      <w:pPr>
        <w:pStyle w:val="BodyText"/>
        <w:spacing w:line="278" w:lineRule="auto" w:before="46"/>
        <w:ind w:left="353" w:right="104" w:firstLine="241"/>
      </w:pPr>
      <w:r>
        <w:rPr>
          <w:spacing w:val="-2"/>
        </w:rPr>
        <w:t>今回の調査結果では、周辺井戸では環境基準を超えた汚染は見られませんでしたが、</w:t>
      </w:r>
      <w:r>
        <w:rPr>
          <w:spacing w:val="-2"/>
        </w:rPr>
        <w:t>大同特殊鋼株式会社に対し、引き続き必要な対策を実施するよう指導していきます。</w:t>
      </w:r>
    </w:p>
    <w:sectPr>
      <w:type w:val="continuous"/>
      <w:pgSz w:w="11900" w:h="16840"/>
      <w:pgMar w:top="182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spacing w:before="52"/>
      <w:ind w:left="608"/>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2024-08-20T07:44:54Z</dcterms:created>
  <dcterms:modified xsi:type="dcterms:W3CDTF">2024-08-20T07:44:54Z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2006-04-11T00:00:00Z</vt:filetime>
  </property>
  <property fmtid="{D5CDD505-2E9C-101B-9397-08002B2CF9AE}" pid="3" name="LastSaved">
    <vt:filetime>2024-08-20T00:00:00Z</vt:filetime>
  </property>
  <property fmtid="{D5CDD505-2E9C-101B-9397-08002B2CF9AE}" pid="4" name="Producer">
    <vt:lpwstr>Acrobat Distiller 5.0 (Windows)</vt:lpwstr>
  </property>
</Properties>
</file>