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15EC" w14:textId="77777777" w:rsidR="00147813" w:rsidRDefault="007A7E72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高野スエ石油株式会社東海通給油所跡地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1C6ADC9F" w14:textId="77777777" w:rsidR="00607B61" w:rsidRPr="00607B6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4A9E8A17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7A7E72">
        <w:rPr>
          <w:rFonts w:hAnsi="ＭＳ 明朝" w:hint="eastAsia"/>
        </w:rPr>
        <w:t>高野スエ石油株式会社東海通給油所跡地</w:t>
      </w:r>
      <w:r w:rsidRPr="005E2B97">
        <w:rPr>
          <w:rFonts w:hint="eastAsia"/>
        </w:rPr>
        <w:t>（</w:t>
      </w:r>
      <w:r w:rsidR="00953ED5">
        <w:rPr>
          <w:rFonts w:hint="eastAsia"/>
        </w:rPr>
        <w:t>名古屋</w:t>
      </w:r>
      <w:r w:rsidR="007A7E72" w:rsidRPr="00DD66F5">
        <w:rPr>
          <w:rFonts w:hAnsi="ＭＳ 明朝" w:hint="eastAsia"/>
        </w:rPr>
        <w:t>市</w:t>
      </w:r>
      <w:r w:rsidR="007A7E72">
        <w:rPr>
          <w:rFonts w:hAnsi="ＭＳ 明朝" w:hint="eastAsia"/>
        </w:rPr>
        <w:t>港区</w:t>
      </w:r>
      <w:r w:rsidR="007A7E7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7E72" w:rsidRPr="00CD57D5">
              <w:rPr>
                <w:rFonts w:hAnsi="ＭＳ 明朝"/>
                <w:sz w:val="12"/>
              </w:rPr>
              <w:t>しちばんちょう</w:t>
            </w:r>
          </w:rt>
          <w:rubyBase>
            <w:r w:rsidR="007A7E72">
              <w:rPr>
                <w:rFonts w:hAnsi="ＭＳ 明朝"/>
              </w:rPr>
              <w:t>七番町</w:t>
            </w:r>
          </w:rubyBase>
        </w:ruby>
      </w:r>
      <w:r w:rsidR="007A7E72">
        <w:rPr>
          <w:rFonts w:hAnsi="ＭＳ 明朝" w:hint="eastAsia"/>
        </w:rPr>
        <w:t>4丁目13番地の1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</w:t>
      </w:r>
      <w:r w:rsidR="00953ED5">
        <w:rPr>
          <w:rFonts w:hAnsi="ＭＳ 明朝" w:hint="eastAsia"/>
        </w:rPr>
        <w:t>27</w:t>
      </w:r>
      <w:r w:rsidR="00016168" w:rsidRPr="00BA75D5">
        <w:rPr>
          <w:rFonts w:hAnsi="ＭＳ 明朝" w:hint="eastAsia"/>
        </w:rPr>
        <w:t>年</w:t>
      </w:r>
      <w:r w:rsidR="00953ED5">
        <w:rPr>
          <w:rFonts w:hAnsi="ＭＳ 明朝" w:hint="eastAsia"/>
        </w:rPr>
        <w:t>6</w:t>
      </w:r>
      <w:r w:rsidR="00016168" w:rsidRPr="00BA75D5">
        <w:rPr>
          <w:rFonts w:hAnsi="ＭＳ 明朝" w:hint="eastAsia"/>
        </w:rPr>
        <w:t>月</w:t>
      </w:r>
      <w:r w:rsidR="00953ED5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3F247563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4B8396B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5A7FB1A2" w14:textId="77777777" w:rsidR="000B5A6B" w:rsidRDefault="007A7E72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C3650B">
        <w:rPr>
          <w:rFonts w:hAnsi="ＭＳ 明朝" w:hint="eastAsia"/>
        </w:rPr>
        <w:t>平成</w:t>
      </w:r>
      <w:r>
        <w:rPr>
          <w:rFonts w:hAnsi="ＭＳ 明朝" w:hint="eastAsia"/>
        </w:rPr>
        <w:t>27</w:t>
      </w:r>
      <w:r w:rsidRPr="00C3650B">
        <w:rPr>
          <w:rFonts w:hAnsi="ＭＳ 明朝" w:hint="eastAsia"/>
        </w:rPr>
        <w:t>年</w:t>
      </w:r>
      <w:r>
        <w:rPr>
          <w:rFonts w:hAnsi="ＭＳ 明朝" w:hint="eastAsia"/>
        </w:rPr>
        <w:t>6</w:t>
      </w:r>
      <w:r w:rsidRPr="00C3650B">
        <w:rPr>
          <w:rFonts w:hAnsi="ＭＳ 明朝" w:hint="eastAsia"/>
        </w:rPr>
        <w:t>月</w:t>
      </w:r>
      <w:r w:rsidR="00953ED5">
        <w:rPr>
          <w:rFonts w:hAnsi="ＭＳ 明朝" w:hint="eastAsia"/>
        </w:rPr>
        <w:t>17</w:t>
      </w:r>
      <w:r w:rsidRPr="00C3650B">
        <w:rPr>
          <w:rFonts w:hAnsi="ＭＳ 明朝" w:hint="eastAsia"/>
        </w:rPr>
        <w:t>日</w:t>
      </w:r>
    </w:p>
    <w:p w14:paraId="6FCE861D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60FC06D0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3F9E3234" w14:textId="77777777" w:rsidR="000B5A6B" w:rsidRDefault="00983DAD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周辺井戸</w:t>
      </w:r>
      <w:r w:rsidR="007A7E72"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>本</w:t>
      </w:r>
    </w:p>
    <w:p w14:paraId="32F8CA29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D70557F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98CB15F" w14:textId="77777777" w:rsidR="000B5A6B" w:rsidRDefault="00765CC1" w:rsidP="00634DB2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F37A48">
        <w:rPr>
          <w:rFonts w:hint="eastAsia"/>
        </w:rPr>
        <w:t>事業</w:t>
      </w:r>
      <w:r w:rsidR="0080798E">
        <w:rPr>
          <w:rFonts w:hint="eastAsia"/>
        </w:rPr>
        <w:t>地</w:t>
      </w:r>
      <w:r w:rsidR="00D353A6">
        <w:rPr>
          <w:rFonts w:hint="eastAsia"/>
        </w:rPr>
        <w:t>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157D40E3" w14:textId="77777777" w:rsidR="00983DAD" w:rsidRPr="00983DAD" w:rsidRDefault="00983DAD" w:rsidP="00983DAD">
      <w:pPr>
        <w:rPr>
          <w:rFonts w:hint="eastAsia"/>
        </w:rPr>
      </w:pPr>
    </w:p>
    <w:p w14:paraId="012F00DC" w14:textId="77777777" w:rsidR="00634DB2" w:rsidRPr="007A7E72" w:rsidRDefault="007A7E72" w:rsidP="007A7E72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6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320"/>
        <w:gridCol w:w="1704"/>
        <w:gridCol w:w="1705"/>
        <w:gridCol w:w="1705"/>
        <w:gridCol w:w="1418"/>
      </w:tblGrid>
      <w:tr w:rsidR="007A7E72" w:rsidRPr="00983DAD" w14:paraId="225410B4" w14:textId="77777777" w:rsidTr="00943009">
        <w:trPr>
          <w:trHeight w:val="495"/>
        </w:trPr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40BAD6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C5F16" w14:textId="77777777" w:rsidR="00983DAD" w:rsidRDefault="00236F56" w:rsidP="00983DAD">
            <w:pPr>
              <w:spacing w:line="300" w:lineRule="exact"/>
              <w:jc w:val="center"/>
              <w:rPr>
                <w:rFonts w:hint="eastAsia"/>
              </w:rPr>
            </w:pPr>
            <w:r w:rsidRPr="00983DAD">
              <w:rPr>
                <w:rFonts w:hint="eastAsia"/>
              </w:rPr>
              <w:t>熱田区八番</w:t>
            </w:r>
          </w:p>
          <w:p w14:paraId="3DE8AEF0" w14:textId="77777777" w:rsidR="007A7E72" w:rsidRPr="00983DAD" w:rsidRDefault="00236F56" w:rsidP="00983DAD">
            <w:pPr>
              <w:spacing w:line="300" w:lineRule="exact"/>
              <w:jc w:val="center"/>
              <w:rPr>
                <w:rFonts w:hint="eastAsia"/>
              </w:rPr>
            </w:pPr>
            <w:r w:rsidRPr="00983DAD">
              <w:rPr>
                <w:rFonts w:hint="eastAsia"/>
              </w:rPr>
              <w:t>二丁目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F38C" w14:textId="77777777" w:rsidR="007A7E72" w:rsidRPr="00983DAD" w:rsidRDefault="00236F56" w:rsidP="00983DAD">
            <w:pPr>
              <w:spacing w:line="300" w:lineRule="exact"/>
              <w:jc w:val="center"/>
              <w:rPr>
                <w:rFonts w:hint="eastAsia"/>
              </w:rPr>
            </w:pPr>
            <w:r w:rsidRPr="00983DAD">
              <w:rPr>
                <w:rFonts w:hint="eastAsia"/>
              </w:rPr>
              <w:t>熱田区五番町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0AD6" w14:textId="77777777" w:rsidR="00983DAD" w:rsidRDefault="00236F56" w:rsidP="00983DAD">
            <w:pPr>
              <w:spacing w:line="300" w:lineRule="exact"/>
              <w:jc w:val="center"/>
              <w:rPr>
                <w:rFonts w:hint="eastAsia"/>
              </w:rPr>
            </w:pPr>
            <w:r w:rsidRPr="00983DAD">
              <w:rPr>
                <w:rFonts w:hint="eastAsia"/>
              </w:rPr>
              <w:t>港区港明</w:t>
            </w:r>
          </w:p>
          <w:p w14:paraId="38ABB0CC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int="eastAsia"/>
              </w:rPr>
              <w:t>一丁目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AA6218" w14:textId="77777777" w:rsidR="007A7E72" w:rsidRPr="00983DAD" w:rsidRDefault="007A7E72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7C820057" w14:textId="77777777" w:rsidR="007A7E72" w:rsidRPr="00983DAD" w:rsidRDefault="007A7E72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7A7E72" w:rsidRPr="00983DAD" w14:paraId="5E667E93" w14:textId="77777777" w:rsidTr="00943009">
        <w:trPr>
          <w:trHeight w:val="49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11900D" w14:textId="77777777" w:rsidR="007A7E72" w:rsidRPr="00983DAD" w:rsidRDefault="007A7E72" w:rsidP="00634DB2">
            <w:pPr>
              <w:spacing w:line="300" w:lineRule="exact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高野スエ石油株式会社東海通給油所跡地からの距離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00136" w14:textId="77777777" w:rsidR="007A7E72" w:rsidRPr="00983DAD" w:rsidRDefault="006B21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</w:t>
            </w:r>
            <w:r w:rsidR="00236F56" w:rsidRPr="00983DAD">
              <w:rPr>
                <w:rFonts w:hAnsi="ＭＳ 明朝" w:hint="eastAsia"/>
              </w:rPr>
              <w:t>50</w:t>
            </w:r>
            <w:r w:rsidR="007A7E72" w:rsidRPr="00983DAD">
              <w:rPr>
                <w:rFonts w:hAnsi="ＭＳ 明朝" w:hint="eastAsia"/>
              </w:rPr>
              <w:t>0m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B6131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北東350m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4FD8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南500m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6FF068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7A7E72" w:rsidRPr="00983DAD" w14:paraId="4EAC348C" w14:textId="77777777" w:rsidTr="00943009">
        <w:trPr>
          <w:trHeight w:val="373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12C178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4D9EE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工業用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96849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一般飲用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96DB" w14:textId="77777777" w:rsidR="007A7E72" w:rsidRPr="00983DAD" w:rsidRDefault="006B21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821D56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7A7E72" w:rsidRPr="00983DAD" w14:paraId="42DE5820" w14:textId="77777777" w:rsidTr="00943009">
        <w:trPr>
          <w:trHeight w:val="376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68C390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49F3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983DAD">
              <w:rPr>
                <w:rFonts w:hAnsi="ＭＳ 明朝" w:hint="eastAsia"/>
                <w:color w:val="000000"/>
                <w:kern w:val="0"/>
              </w:rPr>
              <w:t>4</w:t>
            </w:r>
            <w:r w:rsidR="007A7E72" w:rsidRPr="00983DAD">
              <w:rPr>
                <w:rFonts w:hAnsi="ＭＳ 明朝" w:hint="eastAsia"/>
                <w:color w:val="000000"/>
                <w:kern w:val="0"/>
              </w:rPr>
              <w:t>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B290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141-149</w:t>
            </w:r>
            <w:r w:rsidR="00983DAD" w:rsidRPr="00983DAD">
              <w:rPr>
                <w:rFonts w:hAnsi="ＭＳ 明朝" w:hint="eastAsia"/>
              </w:rPr>
              <w:t>m</w:t>
            </w:r>
          </w:p>
          <w:p w14:paraId="61471C7F" w14:textId="77777777" w:rsidR="00236F56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169-177</w:t>
            </w:r>
            <w:r w:rsidR="00983DAD" w:rsidRPr="00983DAD">
              <w:rPr>
                <w:rFonts w:hAnsi="ＭＳ 明朝" w:hint="eastAsia"/>
              </w:rPr>
              <w:t>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1A58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</w:rPr>
              <w:t>3-18</w:t>
            </w:r>
            <w:r w:rsidR="007A7E72" w:rsidRPr="00983DAD">
              <w:rPr>
                <w:rFonts w:hAnsi="ＭＳ 明朝" w:hint="eastAsia"/>
              </w:rPr>
              <w:t>m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884C26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7A7E72" w:rsidRPr="00983DAD" w14:paraId="28137FD9" w14:textId="77777777" w:rsidTr="00943009">
        <w:trPr>
          <w:trHeight w:val="384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79153" w14:textId="77777777" w:rsidR="007A7E72" w:rsidRPr="00983DAD" w:rsidRDefault="007A7E7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BF04DA" w14:textId="77777777" w:rsidR="007A7E72" w:rsidRPr="00983DAD" w:rsidRDefault="00236F56" w:rsidP="00634DB2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 w:rsidRPr="00983DAD"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2A0806" w14:textId="77777777" w:rsidR="007A7E72" w:rsidRPr="00983DAD" w:rsidRDefault="00236F56" w:rsidP="00983DAD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0.001 未満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828614" w14:textId="77777777" w:rsidR="007A7E72" w:rsidRPr="00983DAD" w:rsidRDefault="00983DAD" w:rsidP="00983DAD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0.001 未満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5E7413" w14:textId="77777777" w:rsidR="007A7E72" w:rsidRPr="00983DAD" w:rsidRDefault="00983DAD" w:rsidP="00983DAD">
            <w:pPr>
              <w:spacing w:line="300" w:lineRule="exact"/>
              <w:jc w:val="center"/>
              <w:rPr>
                <w:rFonts w:hAnsi="ＭＳ 明朝"/>
              </w:rPr>
            </w:pPr>
            <w:r w:rsidRPr="00983DAD">
              <w:rPr>
                <w:rFonts w:hAnsi="ＭＳ 明朝" w:hint="eastAsia"/>
                <w:kern w:val="0"/>
              </w:rPr>
              <w:t>0.001 未満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97C955" w14:textId="77777777" w:rsidR="007A7E72" w:rsidRPr="00983DAD" w:rsidRDefault="00983DAD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 xml:space="preserve">0.01 </w:t>
            </w:r>
            <w:r w:rsidR="007A7E72" w:rsidRPr="00983DAD">
              <w:rPr>
                <w:rFonts w:hAnsi="ＭＳ 明朝" w:hint="eastAsia"/>
              </w:rPr>
              <w:t>以下</w:t>
            </w:r>
          </w:p>
        </w:tc>
      </w:tr>
    </w:tbl>
    <w:p w14:paraId="0F1C63A1" w14:textId="77777777" w:rsidR="0080798E" w:rsidRDefault="0080798E">
      <w:pPr>
        <w:rPr>
          <w:rFonts w:hint="eastAsia"/>
        </w:rPr>
      </w:pPr>
    </w:p>
    <w:p w14:paraId="4F26C904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1DFA7AC4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7773C1" w:rsidRPr="005420AC">
        <w:rPr>
          <w:rFonts w:hAnsi="ＭＳ 明朝" w:hint="eastAsia"/>
        </w:rPr>
        <w:t>が、</w:t>
      </w:r>
      <w:r w:rsidR="007773C1">
        <w:rPr>
          <w:rFonts w:hAnsi="ＭＳ 明朝" w:hint="eastAsia"/>
        </w:rPr>
        <w:t>報告者の</w:t>
      </w:r>
      <w:r w:rsidR="00983DAD">
        <w:rPr>
          <w:rFonts w:hAnsi="ＭＳ 明朝" w:hint="eastAsia"/>
        </w:rPr>
        <w:t>高野スエ石油株式会社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065A" w14:textId="77777777" w:rsidR="00FA214A" w:rsidRDefault="00FA214A" w:rsidP="00A60D73">
      <w:r>
        <w:separator/>
      </w:r>
    </w:p>
  </w:endnote>
  <w:endnote w:type="continuationSeparator" w:id="0">
    <w:p w14:paraId="70235AE3" w14:textId="77777777" w:rsidR="00FA214A" w:rsidRDefault="00FA214A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82A7" w14:textId="77777777" w:rsidR="00FA214A" w:rsidRDefault="00FA214A" w:rsidP="00A60D73">
      <w:r>
        <w:separator/>
      </w:r>
    </w:p>
  </w:footnote>
  <w:footnote w:type="continuationSeparator" w:id="0">
    <w:p w14:paraId="30B383C2" w14:textId="77777777" w:rsidR="00FA214A" w:rsidRDefault="00FA214A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7547D"/>
    <w:rsid w:val="00075B89"/>
    <w:rsid w:val="000B0980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96EFB"/>
    <w:rsid w:val="001C4ECD"/>
    <w:rsid w:val="001D6133"/>
    <w:rsid w:val="001E6FB0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F0EE3"/>
    <w:rsid w:val="00301C30"/>
    <w:rsid w:val="00303A73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403FF4"/>
    <w:rsid w:val="00415023"/>
    <w:rsid w:val="00417A13"/>
    <w:rsid w:val="00442375"/>
    <w:rsid w:val="00446052"/>
    <w:rsid w:val="0045071D"/>
    <w:rsid w:val="00477C66"/>
    <w:rsid w:val="00482645"/>
    <w:rsid w:val="004959A2"/>
    <w:rsid w:val="004C122D"/>
    <w:rsid w:val="004D4456"/>
    <w:rsid w:val="004D4E9D"/>
    <w:rsid w:val="004D5409"/>
    <w:rsid w:val="00501E9E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4DB2"/>
    <w:rsid w:val="00652F55"/>
    <w:rsid w:val="0067225F"/>
    <w:rsid w:val="00683465"/>
    <w:rsid w:val="006B2100"/>
    <w:rsid w:val="006B5D82"/>
    <w:rsid w:val="006B5EC1"/>
    <w:rsid w:val="006F03F9"/>
    <w:rsid w:val="006F49C7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773C1"/>
    <w:rsid w:val="0077753C"/>
    <w:rsid w:val="00785B01"/>
    <w:rsid w:val="007A3981"/>
    <w:rsid w:val="007A7E72"/>
    <w:rsid w:val="007D1237"/>
    <w:rsid w:val="007D5470"/>
    <w:rsid w:val="0080798E"/>
    <w:rsid w:val="00814F43"/>
    <w:rsid w:val="0082248A"/>
    <w:rsid w:val="00823C84"/>
    <w:rsid w:val="008370CD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7147E"/>
    <w:rsid w:val="00B75918"/>
    <w:rsid w:val="00B775F7"/>
    <w:rsid w:val="00BA75D5"/>
    <w:rsid w:val="00BC000B"/>
    <w:rsid w:val="00BC35E5"/>
    <w:rsid w:val="00C002BB"/>
    <w:rsid w:val="00C106F1"/>
    <w:rsid w:val="00C245BA"/>
    <w:rsid w:val="00C266A7"/>
    <w:rsid w:val="00C36181"/>
    <w:rsid w:val="00C645C0"/>
    <w:rsid w:val="00C64937"/>
    <w:rsid w:val="00C93D4B"/>
    <w:rsid w:val="00CB3DA6"/>
    <w:rsid w:val="00CC68C9"/>
    <w:rsid w:val="00D113DA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54CED"/>
    <w:rsid w:val="00E664D7"/>
    <w:rsid w:val="00E96F7D"/>
    <w:rsid w:val="00EA2EEA"/>
    <w:rsid w:val="00EB2055"/>
    <w:rsid w:val="00EB7C17"/>
    <w:rsid w:val="00F003D4"/>
    <w:rsid w:val="00F10100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8EE610"/>
  <w15:chartTrackingRefBased/>
  <w15:docId w15:val="{33EFDA14-4DA9-4459-ACB8-8C7C04D6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2014-07-02T00:05:00Z</cp:lastPrinted>
  <dcterms:created xsi:type="dcterms:W3CDTF">2024-10-22T02:18:00Z</dcterms:created>
  <dcterms:modified xsi:type="dcterms:W3CDTF">2024-10-22T02:18:00Z</dcterms:modified>
</cp:coreProperties>
</file>