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rawings/drawing3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69B" w:rsidRDefault="00D9769B">
      <w:pPr>
        <w:rPr>
          <w:b/>
          <w:bCs/>
        </w:rPr>
      </w:pPr>
      <w:r>
        <w:rPr>
          <w:rFonts w:hint="eastAsia"/>
          <w:b/>
          <w:bCs/>
        </w:rPr>
        <w:t>（２）　基本方針別にみる満足度評価</w:t>
      </w:r>
    </w:p>
    <w:p w:rsidR="00D9769B" w:rsidRDefault="00D9769B">
      <w:pPr>
        <w:rPr>
          <w:b/>
          <w:bCs/>
        </w:rPr>
      </w:pPr>
      <w:r>
        <w:rPr>
          <w:rFonts w:hint="eastAsia"/>
          <w:b/>
          <w:bCs/>
        </w:rPr>
        <w:t>①「人」が輝くまちをつくるための基本方針</w:t>
      </w:r>
    </w:p>
    <w:p w:rsidR="00D9769B" w:rsidRDefault="00D9769B">
      <w:r>
        <w:rPr>
          <w:rFonts w:hint="eastAsia"/>
        </w:rPr>
        <w:t>「満足」が最も多いのは、「</w:t>
      </w:r>
      <w:r w:rsidR="00A16A9D">
        <w:rPr>
          <w:rFonts w:hint="eastAsia"/>
        </w:rPr>
        <w:t>人権文化の醸成</w:t>
      </w:r>
      <w:r>
        <w:rPr>
          <w:rFonts w:hint="eastAsia"/>
        </w:rPr>
        <w:t>」で</w:t>
      </w:r>
      <w:r w:rsidR="00A16A9D">
        <w:rPr>
          <w:rFonts w:hint="eastAsia"/>
        </w:rPr>
        <w:t>7.0</w:t>
      </w:r>
      <w:r>
        <w:rPr>
          <w:rFonts w:hint="eastAsia"/>
        </w:rPr>
        <w:t>％、次いで「</w:t>
      </w:r>
      <w:r w:rsidR="0000281D">
        <w:rPr>
          <w:rFonts w:hint="eastAsia"/>
        </w:rPr>
        <w:t>人権の擁護</w:t>
      </w:r>
      <w:r>
        <w:rPr>
          <w:rFonts w:hint="eastAsia"/>
        </w:rPr>
        <w:t>」が</w:t>
      </w:r>
      <w:r w:rsidR="00A16A9D">
        <w:rPr>
          <w:rFonts w:hint="eastAsia"/>
        </w:rPr>
        <w:t>6.3</w:t>
      </w:r>
      <w:r>
        <w:rPr>
          <w:rFonts w:hint="eastAsia"/>
        </w:rPr>
        <w:t>％となっている。</w:t>
      </w:r>
    </w:p>
    <w:p w:rsidR="00D9769B" w:rsidRDefault="00D9769B">
      <w:r>
        <w:rPr>
          <w:rFonts w:hint="eastAsia"/>
        </w:rPr>
        <w:t>「やや満足」が最も多いのは、「</w:t>
      </w:r>
      <w:r w:rsidR="00A16A9D">
        <w:rPr>
          <w:rFonts w:hint="eastAsia"/>
        </w:rPr>
        <w:t>学校施設の整備</w:t>
      </w:r>
      <w:r>
        <w:rPr>
          <w:rFonts w:hint="eastAsia"/>
        </w:rPr>
        <w:t>」</w:t>
      </w:r>
      <w:r w:rsidR="00A16A9D">
        <w:rPr>
          <w:rFonts w:hint="eastAsia"/>
        </w:rPr>
        <w:t>と</w:t>
      </w:r>
      <w:r>
        <w:rPr>
          <w:rFonts w:hint="eastAsia"/>
        </w:rPr>
        <w:t>「</w:t>
      </w:r>
      <w:r w:rsidR="00A16A9D">
        <w:rPr>
          <w:rFonts w:hint="eastAsia"/>
        </w:rPr>
        <w:t>歴史資産の保全と活用</w:t>
      </w:r>
      <w:r>
        <w:rPr>
          <w:rFonts w:hint="eastAsia"/>
        </w:rPr>
        <w:t>」</w:t>
      </w:r>
      <w:r w:rsidR="00A16A9D">
        <w:rPr>
          <w:rFonts w:hint="eastAsia"/>
        </w:rPr>
        <w:t>で</w:t>
      </w:r>
      <w:r w:rsidR="00A16A9D">
        <w:rPr>
          <w:rFonts w:hint="eastAsia"/>
        </w:rPr>
        <w:t>27.9</w:t>
      </w:r>
      <w:r>
        <w:rPr>
          <w:rFonts w:hint="eastAsia"/>
        </w:rPr>
        <w:t>％となっている。</w:t>
      </w:r>
    </w:p>
    <w:p w:rsidR="00D9769B" w:rsidRDefault="00D9769B">
      <w:r>
        <w:rPr>
          <w:rFonts w:hint="eastAsia"/>
        </w:rPr>
        <w:t>「どちらとも言えない」が最も多いのは、「</w:t>
      </w:r>
      <w:r w:rsidR="0000281D">
        <w:rPr>
          <w:rFonts w:hint="eastAsia"/>
        </w:rPr>
        <w:t>地域学習社会の形成</w:t>
      </w:r>
      <w:r>
        <w:rPr>
          <w:rFonts w:hint="eastAsia"/>
        </w:rPr>
        <w:t>」で</w:t>
      </w:r>
      <w:r w:rsidR="0000281D">
        <w:rPr>
          <w:rFonts w:hint="eastAsia"/>
        </w:rPr>
        <w:t>6</w:t>
      </w:r>
      <w:r w:rsidR="00A16A9D">
        <w:rPr>
          <w:rFonts w:hint="eastAsia"/>
        </w:rPr>
        <w:t>3.2</w:t>
      </w:r>
      <w:r>
        <w:rPr>
          <w:rFonts w:hint="eastAsia"/>
        </w:rPr>
        <w:t>％</w:t>
      </w:r>
      <w:r w:rsidR="0000281D">
        <w:rPr>
          <w:rFonts w:hint="eastAsia"/>
        </w:rPr>
        <w:t>、次いで「</w:t>
      </w:r>
      <w:r w:rsidR="00A16A9D">
        <w:rPr>
          <w:rFonts w:hint="eastAsia"/>
        </w:rPr>
        <w:t>市民文化の醸成</w:t>
      </w:r>
      <w:r w:rsidR="0000281D">
        <w:rPr>
          <w:rFonts w:hint="eastAsia"/>
        </w:rPr>
        <w:t>」が</w:t>
      </w:r>
      <w:r w:rsidR="00A16A9D">
        <w:rPr>
          <w:rFonts w:hint="eastAsia"/>
        </w:rPr>
        <w:t>61.5</w:t>
      </w:r>
      <w:r w:rsidR="0000281D">
        <w:rPr>
          <w:rFonts w:hint="eastAsia"/>
        </w:rPr>
        <w:t>％</w:t>
      </w:r>
      <w:r>
        <w:rPr>
          <w:rFonts w:hint="eastAsia"/>
        </w:rPr>
        <w:t>となっている。</w:t>
      </w:r>
    </w:p>
    <w:p w:rsidR="00D9769B" w:rsidRDefault="00D9769B">
      <w:r>
        <w:rPr>
          <w:rFonts w:hint="eastAsia"/>
        </w:rPr>
        <w:t>「やや不満」が最も多いのは、「</w:t>
      </w:r>
      <w:r w:rsidR="00A16A9D">
        <w:rPr>
          <w:rFonts w:hint="eastAsia"/>
        </w:rPr>
        <w:t>青少年の健全育成</w:t>
      </w:r>
      <w:r>
        <w:rPr>
          <w:rFonts w:hint="eastAsia"/>
        </w:rPr>
        <w:t>」で</w:t>
      </w:r>
      <w:r w:rsidR="00A16A9D">
        <w:rPr>
          <w:rFonts w:hint="eastAsia"/>
        </w:rPr>
        <w:t>13.</w:t>
      </w:r>
      <w:r w:rsidR="000D3B8A">
        <w:rPr>
          <w:rFonts w:hint="eastAsia"/>
        </w:rPr>
        <w:t>5</w:t>
      </w:r>
      <w:r>
        <w:rPr>
          <w:rFonts w:hint="eastAsia"/>
        </w:rPr>
        <w:t>％、次いで「</w:t>
      </w:r>
      <w:r w:rsidR="00A16A9D">
        <w:rPr>
          <w:rFonts w:hint="eastAsia"/>
        </w:rPr>
        <w:t>学校教育の充実</w:t>
      </w:r>
      <w:r>
        <w:rPr>
          <w:rFonts w:hint="eastAsia"/>
        </w:rPr>
        <w:t>」が</w:t>
      </w:r>
      <w:r w:rsidR="0000281D">
        <w:rPr>
          <w:rFonts w:hint="eastAsia"/>
        </w:rPr>
        <w:t>13.</w:t>
      </w:r>
      <w:r w:rsidR="00A16A9D">
        <w:rPr>
          <w:rFonts w:hint="eastAsia"/>
        </w:rPr>
        <w:t>2</w:t>
      </w:r>
      <w:r>
        <w:rPr>
          <w:rFonts w:hint="eastAsia"/>
        </w:rPr>
        <w:t>％となっている。</w:t>
      </w:r>
    </w:p>
    <w:p w:rsidR="00D9769B" w:rsidRDefault="00D9769B">
      <w:r>
        <w:rPr>
          <w:rFonts w:hint="eastAsia"/>
        </w:rPr>
        <w:t>「不満」が最も多いのは、「</w:t>
      </w:r>
      <w:r w:rsidR="00A16A9D">
        <w:rPr>
          <w:rFonts w:hint="eastAsia"/>
        </w:rPr>
        <w:t>学校教育の充実</w:t>
      </w:r>
      <w:r>
        <w:rPr>
          <w:rFonts w:hint="eastAsia"/>
        </w:rPr>
        <w:t>」で</w:t>
      </w:r>
      <w:r>
        <w:t>4.</w:t>
      </w:r>
      <w:r w:rsidR="00A16A9D">
        <w:rPr>
          <w:rFonts w:hint="eastAsia"/>
        </w:rPr>
        <w:t>5</w:t>
      </w:r>
      <w:r>
        <w:rPr>
          <w:rFonts w:hint="eastAsia"/>
        </w:rPr>
        <w:t>％、次いで「</w:t>
      </w:r>
      <w:r w:rsidR="00A16A9D">
        <w:rPr>
          <w:rFonts w:hint="eastAsia"/>
        </w:rPr>
        <w:t>学校施設の整備</w:t>
      </w:r>
      <w:r>
        <w:rPr>
          <w:rFonts w:hint="eastAsia"/>
        </w:rPr>
        <w:t>」が</w:t>
      </w:r>
      <w:r w:rsidR="00A16A9D">
        <w:rPr>
          <w:rFonts w:hint="eastAsia"/>
        </w:rPr>
        <w:t>3.9</w:t>
      </w:r>
      <w:r>
        <w:rPr>
          <w:rFonts w:hint="eastAsia"/>
        </w:rPr>
        <w:t>％となっている。</w:t>
      </w:r>
    </w:p>
    <w:p w:rsidR="00D9769B" w:rsidRDefault="00F31967">
      <w:r>
        <w:rPr>
          <w:noProof/>
        </w:rPr>
        <w:drawing>
          <wp:inline distT="0" distB="0" distL="0" distR="0">
            <wp:extent cx="5772150" cy="3752850"/>
            <wp:effectExtent l="0" t="0" r="0" b="0"/>
            <wp:docPr id="1" name="オブジェク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9769B" w:rsidRDefault="00D9769B">
      <w:pPr>
        <w:rPr>
          <w:b/>
          <w:bCs/>
        </w:rPr>
      </w:pPr>
    </w:p>
    <w:p w:rsidR="00D9769B" w:rsidRDefault="00D9769B">
      <w:pPr>
        <w:rPr>
          <w:b/>
          <w:bCs/>
        </w:rPr>
      </w:pPr>
    </w:p>
    <w:p w:rsidR="00D9769B" w:rsidRDefault="00D9769B">
      <w:pPr>
        <w:rPr>
          <w:b/>
          <w:bCs/>
        </w:rPr>
      </w:pPr>
    </w:p>
    <w:p w:rsidR="00F31967" w:rsidRDefault="00F31967">
      <w:pPr>
        <w:rPr>
          <w:b/>
          <w:bCs/>
        </w:rPr>
      </w:pPr>
    </w:p>
    <w:p w:rsidR="00D9769B" w:rsidRDefault="00D9769B">
      <w:pPr>
        <w:rPr>
          <w:b/>
          <w:bCs/>
        </w:rPr>
      </w:pPr>
    </w:p>
    <w:p w:rsidR="00D9769B" w:rsidRDefault="00D9769B">
      <w:pPr>
        <w:rPr>
          <w:b/>
          <w:bCs/>
        </w:rPr>
      </w:pPr>
    </w:p>
    <w:p w:rsidR="005A7670" w:rsidRDefault="005A7670">
      <w:pPr>
        <w:rPr>
          <w:b/>
          <w:bCs/>
        </w:rPr>
      </w:pPr>
    </w:p>
    <w:p w:rsidR="00D9769B" w:rsidRDefault="00D9769B">
      <w:pPr>
        <w:rPr>
          <w:b/>
          <w:bCs/>
        </w:rPr>
      </w:pPr>
      <w:r>
        <w:rPr>
          <w:rFonts w:hint="eastAsia"/>
          <w:b/>
          <w:bCs/>
        </w:rPr>
        <w:lastRenderedPageBreak/>
        <w:t>②「安心」が得られるまちをつくるための基本方針</w:t>
      </w:r>
    </w:p>
    <w:p w:rsidR="00D9769B" w:rsidRDefault="00F52DA2">
      <w:r>
        <w:rPr>
          <w:rFonts w:hint="eastAsia"/>
        </w:rPr>
        <w:t>「満足」が最も多いのは、</w:t>
      </w:r>
      <w:r w:rsidR="00D9769B">
        <w:rPr>
          <w:rFonts w:hint="eastAsia"/>
        </w:rPr>
        <w:t>「治水対策」で</w:t>
      </w:r>
      <w:r w:rsidR="00D9743A">
        <w:rPr>
          <w:rFonts w:hint="eastAsia"/>
        </w:rPr>
        <w:t>5.</w:t>
      </w:r>
      <w:r w:rsidR="00C175EE">
        <w:rPr>
          <w:rFonts w:hint="eastAsia"/>
        </w:rPr>
        <w:t>5</w:t>
      </w:r>
      <w:r w:rsidR="00D9769B">
        <w:rPr>
          <w:rFonts w:hint="eastAsia"/>
        </w:rPr>
        <w:t>％</w:t>
      </w:r>
      <w:r w:rsidR="00D9743A">
        <w:rPr>
          <w:rFonts w:hint="eastAsia"/>
        </w:rPr>
        <w:t>、次いで「</w:t>
      </w:r>
      <w:r w:rsidR="00C175EE">
        <w:rPr>
          <w:rFonts w:hint="eastAsia"/>
        </w:rPr>
        <w:t>母子保健等の充実</w:t>
      </w:r>
      <w:r w:rsidR="00D9743A">
        <w:rPr>
          <w:rFonts w:hint="eastAsia"/>
        </w:rPr>
        <w:t>」が</w:t>
      </w:r>
      <w:r w:rsidR="00D9743A">
        <w:rPr>
          <w:rFonts w:hint="eastAsia"/>
        </w:rPr>
        <w:t>5.</w:t>
      </w:r>
      <w:r w:rsidR="00C175EE">
        <w:rPr>
          <w:rFonts w:hint="eastAsia"/>
        </w:rPr>
        <w:t>1</w:t>
      </w:r>
      <w:r w:rsidR="00D9743A">
        <w:rPr>
          <w:rFonts w:hint="eastAsia"/>
        </w:rPr>
        <w:t>％</w:t>
      </w:r>
      <w:r w:rsidR="00D9769B">
        <w:rPr>
          <w:rFonts w:hint="eastAsia"/>
        </w:rPr>
        <w:t>となっている。</w:t>
      </w:r>
    </w:p>
    <w:p w:rsidR="00D9769B" w:rsidRDefault="00D9769B">
      <w:r>
        <w:rPr>
          <w:rFonts w:hint="eastAsia"/>
        </w:rPr>
        <w:t>「やや満足」が最も多いのは、「市民の健康づくり」で</w:t>
      </w:r>
      <w:r w:rsidR="00D9743A">
        <w:rPr>
          <w:rFonts w:hint="eastAsia"/>
        </w:rPr>
        <w:t>2</w:t>
      </w:r>
      <w:r w:rsidR="00C175EE">
        <w:rPr>
          <w:rFonts w:hint="eastAsia"/>
        </w:rPr>
        <w:t>6.2</w:t>
      </w:r>
      <w:r>
        <w:rPr>
          <w:rFonts w:hint="eastAsia"/>
        </w:rPr>
        <w:t>％、次いで「</w:t>
      </w:r>
      <w:r w:rsidR="00C175EE">
        <w:rPr>
          <w:rFonts w:hint="eastAsia"/>
        </w:rPr>
        <w:t>医療保険制度等の適正運用</w:t>
      </w:r>
      <w:r>
        <w:rPr>
          <w:rFonts w:hint="eastAsia"/>
        </w:rPr>
        <w:t>」で</w:t>
      </w:r>
      <w:r w:rsidR="00C175EE">
        <w:rPr>
          <w:rFonts w:hint="eastAsia"/>
        </w:rPr>
        <w:t>21.4</w:t>
      </w:r>
      <w:r>
        <w:rPr>
          <w:rFonts w:hint="eastAsia"/>
        </w:rPr>
        <w:t>％となっている。</w:t>
      </w:r>
    </w:p>
    <w:p w:rsidR="00D9769B" w:rsidRDefault="00D9769B">
      <w:r>
        <w:rPr>
          <w:rFonts w:hint="eastAsia"/>
        </w:rPr>
        <w:t>「どちらとも言えない」が最も多いのは、「障害のある人の社会参加の促進」で</w:t>
      </w:r>
      <w:r w:rsidR="00EE3D6D">
        <w:rPr>
          <w:rFonts w:hint="eastAsia"/>
        </w:rPr>
        <w:t>6</w:t>
      </w:r>
      <w:r w:rsidR="000D3B8A">
        <w:rPr>
          <w:rFonts w:hint="eastAsia"/>
        </w:rPr>
        <w:t>6.9</w:t>
      </w:r>
      <w:r>
        <w:rPr>
          <w:rFonts w:hint="eastAsia"/>
        </w:rPr>
        <w:t>％、次いで「</w:t>
      </w:r>
      <w:r w:rsidR="00D9743A">
        <w:rPr>
          <w:rFonts w:hint="eastAsia"/>
        </w:rPr>
        <w:t>生活安定への支援</w:t>
      </w:r>
      <w:r>
        <w:rPr>
          <w:rFonts w:hint="eastAsia"/>
        </w:rPr>
        <w:t>」で</w:t>
      </w:r>
      <w:r w:rsidR="00EE3D6D">
        <w:rPr>
          <w:rFonts w:hint="eastAsia"/>
        </w:rPr>
        <w:t>64.2</w:t>
      </w:r>
      <w:r>
        <w:rPr>
          <w:rFonts w:hint="eastAsia"/>
        </w:rPr>
        <w:t>％となっている。</w:t>
      </w:r>
    </w:p>
    <w:p w:rsidR="00D9769B" w:rsidRDefault="00D9769B">
      <w:r>
        <w:rPr>
          <w:rFonts w:hint="eastAsia"/>
        </w:rPr>
        <w:t>「やや不満」が最も多いのは、「犯罪のないまちづくり」で</w:t>
      </w:r>
      <w:r w:rsidR="00D9743A">
        <w:rPr>
          <w:rFonts w:hint="eastAsia"/>
        </w:rPr>
        <w:t>23.0</w:t>
      </w:r>
      <w:r>
        <w:rPr>
          <w:rFonts w:hint="eastAsia"/>
        </w:rPr>
        <w:t>％、次いで「あんしんできる高齢期の生活への支援」で</w:t>
      </w:r>
      <w:r w:rsidR="00EE3D6D">
        <w:rPr>
          <w:rFonts w:hint="eastAsia"/>
        </w:rPr>
        <w:t>21.4</w:t>
      </w:r>
      <w:r>
        <w:rPr>
          <w:rFonts w:hint="eastAsia"/>
        </w:rPr>
        <w:t>％となっている。</w:t>
      </w:r>
    </w:p>
    <w:p w:rsidR="00D9769B" w:rsidRDefault="00D9769B">
      <w:r>
        <w:rPr>
          <w:rFonts w:hint="eastAsia"/>
        </w:rPr>
        <w:t>「不満」が最も多いのは、「犯罪のないまちづくり」で</w:t>
      </w:r>
      <w:r w:rsidR="00EE3D6D">
        <w:rPr>
          <w:rFonts w:hint="eastAsia"/>
        </w:rPr>
        <w:t>6.8</w:t>
      </w:r>
      <w:r>
        <w:rPr>
          <w:rFonts w:hint="eastAsia"/>
        </w:rPr>
        <w:t>％</w:t>
      </w:r>
      <w:r w:rsidR="00D9743A">
        <w:rPr>
          <w:rFonts w:hint="eastAsia"/>
        </w:rPr>
        <w:t>、次いで「あんしんできる高齢期の生活への支援」</w:t>
      </w:r>
      <w:r w:rsidR="00EE3D6D">
        <w:rPr>
          <w:rFonts w:hint="eastAsia"/>
        </w:rPr>
        <w:t>と「生活安定への支援」</w:t>
      </w:r>
      <w:r w:rsidR="00D9743A">
        <w:rPr>
          <w:rFonts w:hint="eastAsia"/>
        </w:rPr>
        <w:t>が</w:t>
      </w:r>
      <w:r w:rsidR="00D9743A">
        <w:rPr>
          <w:rFonts w:hint="eastAsia"/>
        </w:rPr>
        <w:t>5.</w:t>
      </w:r>
      <w:r w:rsidR="00A90930">
        <w:rPr>
          <w:rFonts w:hint="eastAsia"/>
        </w:rPr>
        <w:t>7</w:t>
      </w:r>
      <w:r w:rsidR="00D9743A">
        <w:rPr>
          <w:rFonts w:hint="eastAsia"/>
        </w:rPr>
        <w:t>％</w:t>
      </w:r>
      <w:r>
        <w:rPr>
          <w:rFonts w:hint="eastAsia"/>
        </w:rPr>
        <w:t>となっている。</w:t>
      </w:r>
    </w:p>
    <w:p w:rsidR="00D9769B" w:rsidRDefault="00D9769B"/>
    <w:p w:rsidR="00D9769B" w:rsidRDefault="00F3196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819775" cy="4410075"/>
            <wp:effectExtent l="0" t="0" r="0" b="0"/>
            <wp:docPr id="2" name="オブジェクト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9769B" w:rsidRDefault="00D9769B">
      <w:pPr>
        <w:rPr>
          <w:b/>
          <w:bCs/>
        </w:rPr>
      </w:pPr>
    </w:p>
    <w:p w:rsidR="00D9769B" w:rsidRDefault="00D9769B">
      <w:pPr>
        <w:rPr>
          <w:b/>
          <w:bCs/>
        </w:rPr>
      </w:pPr>
    </w:p>
    <w:p w:rsidR="00F31967" w:rsidRDefault="00F31967">
      <w:pPr>
        <w:rPr>
          <w:b/>
          <w:bCs/>
        </w:rPr>
      </w:pPr>
    </w:p>
    <w:p w:rsidR="00D9769B" w:rsidRDefault="00D9769B">
      <w:pPr>
        <w:rPr>
          <w:b/>
          <w:bCs/>
        </w:rPr>
      </w:pPr>
    </w:p>
    <w:p w:rsidR="00D9769B" w:rsidRDefault="00D9769B">
      <w:pPr>
        <w:rPr>
          <w:b/>
          <w:bCs/>
        </w:rPr>
      </w:pPr>
      <w:r>
        <w:rPr>
          <w:rFonts w:hint="eastAsia"/>
          <w:b/>
          <w:bCs/>
        </w:rPr>
        <w:lastRenderedPageBreak/>
        <w:t>③「心地よさ」が感じられるまちをつくるための基本方針</w:t>
      </w:r>
    </w:p>
    <w:p w:rsidR="00D9769B" w:rsidRDefault="00D9769B">
      <w:r>
        <w:rPr>
          <w:rFonts w:hint="eastAsia"/>
        </w:rPr>
        <w:t>「満足」で最も多いのは「水の安定供給」で</w:t>
      </w:r>
      <w:r>
        <w:t>19.</w:t>
      </w:r>
      <w:r w:rsidR="000D3B8A">
        <w:rPr>
          <w:rFonts w:hint="eastAsia"/>
        </w:rPr>
        <w:t>0</w:t>
      </w:r>
      <w:r>
        <w:rPr>
          <w:rFonts w:hint="eastAsia"/>
        </w:rPr>
        <w:t>％、次いで「汚水の適正処理」で</w:t>
      </w:r>
      <w:r w:rsidR="001B3AA0">
        <w:rPr>
          <w:rFonts w:hint="eastAsia"/>
        </w:rPr>
        <w:t>11.6</w:t>
      </w:r>
      <w:r>
        <w:rPr>
          <w:rFonts w:hint="eastAsia"/>
        </w:rPr>
        <w:t>％となっている。</w:t>
      </w:r>
    </w:p>
    <w:p w:rsidR="00D9769B" w:rsidRDefault="00D9769B">
      <w:r>
        <w:rPr>
          <w:rFonts w:hint="eastAsia"/>
        </w:rPr>
        <w:t>「やや満足」で最も多いのは「水の安定供給」で</w:t>
      </w:r>
      <w:r w:rsidR="001B3AA0">
        <w:rPr>
          <w:rFonts w:hint="eastAsia"/>
        </w:rPr>
        <w:t>39.8</w:t>
      </w:r>
      <w:r>
        <w:rPr>
          <w:rFonts w:hint="eastAsia"/>
        </w:rPr>
        <w:t>％、次いで「汚水の適正処理」で</w:t>
      </w:r>
      <w:r>
        <w:t>3</w:t>
      </w:r>
      <w:r w:rsidR="00510B4E">
        <w:rPr>
          <w:rFonts w:hint="eastAsia"/>
        </w:rPr>
        <w:t>2.</w:t>
      </w:r>
      <w:r w:rsidR="001B3AA0">
        <w:rPr>
          <w:rFonts w:hint="eastAsia"/>
        </w:rPr>
        <w:t>9</w:t>
      </w:r>
      <w:r>
        <w:rPr>
          <w:rFonts w:hint="eastAsia"/>
        </w:rPr>
        <w:t>％となっている。</w:t>
      </w:r>
    </w:p>
    <w:p w:rsidR="00D9769B" w:rsidRDefault="00D9769B">
      <w:r>
        <w:rPr>
          <w:rFonts w:hint="eastAsia"/>
        </w:rPr>
        <w:t>「どちらとも言えない」で最も多いのは「環境学習の充実」で</w:t>
      </w:r>
      <w:r w:rsidR="001B3AA0">
        <w:rPr>
          <w:rFonts w:hint="eastAsia"/>
        </w:rPr>
        <w:t>66.3</w:t>
      </w:r>
      <w:r>
        <w:rPr>
          <w:rFonts w:hint="eastAsia"/>
        </w:rPr>
        <w:t>％、次いで「地球温暖化対策への貢献」で</w:t>
      </w:r>
      <w:r w:rsidR="001B3AA0">
        <w:rPr>
          <w:rFonts w:hint="eastAsia"/>
        </w:rPr>
        <w:t>66.2</w:t>
      </w:r>
      <w:r>
        <w:rPr>
          <w:rFonts w:hint="eastAsia"/>
        </w:rPr>
        <w:t>％となっている。</w:t>
      </w:r>
    </w:p>
    <w:p w:rsidR="00D9769B" w:rsidRDefault="00D9769B">
      <w:r>
        <w:rPr>
          <w:rFonts w:hint="eastAsia"/>
        </w:rPr>
        <w:t>「やや不満」で最も多いのは「</w:t>
      </w:r>
      <w:r w:rsidR="001B3AA0">
        <w:rPr>
          <w:rFonts w:hint="eastAsia"/>
        </w:rPr>
        <w:t>安全で快適な道路づくり</w:t>
      </w:r>
      <w:r>
        <w:rPr>
          <w:rFonts w:hint="eastAsia"/>
        </w:rPr>
        <w:t>」で</w:t>
      </w:r>
      <w:r w:rsidR="001B3AA0">
        <w:rPr>
          <w:rFonts w:hint="eastAsia"/>
        </w:rPr>
        <w:t>20.6</w:t>
      </w:r>
      <w:r>
        <w:rPr>
          <w:rFonts w:hint="eastAsia"/>
        </w:rPr>
        <w:t>％</w:t>
      </w:r>
      <w:r w:rsidR="00510B4E">
        <w:rPr>
          <w:rFonts w:hint="eastAsia"/>
        </w:rPr>
        <w:t>、次いで「</w:t>
      </w:r>
      <w:r w:rsidR="001B3AA0">
        <w:rPr>
          <w:rFonts w:hint="eastAsia"/>
        </w:rPr>
        <w:t>公共交通体系の充実</w:t>
      </w:r>
      <w:r w:rsidR="00510B4E">
        <w:rPr>
          <w:rFonts w:hint="eastAsia"/>
        </w:rPr>
        <w:t>」が</w:t>
      </w:r>
      <w:r w:rsidR="001B3AA0">
        <w:rPr>
          <w:rFonts w:hint="eastAsia"/>
        </w:rPr>
        <w:t>19.1</w:t>
      </w:r>
      <w:r w:rsidR="00510B4E">
        <w:rPr>
          <w:rFonts w:hint="eastAsia"/>
        </w:rPr>
        <w:t>％</w:t>
      </w:r>
      <w:r>
        <w:rPr>
          <w:rFonts w:hint="eastAsia"/>
        </w:rPr>
        <w:t>となっている。</w:t>
      </w:r>
    </w:p>
    <w:p w:rsidR="00D9769B" w:rsidRDefault="00D9769B">
      <w:r>
        <w:rPr>
          <w:rFonts w:hint="eastAsia"/>
        </w:rPr>
        <w:t>「不満」で最も多いのは</w:t>
      </w:r>
      <w:r w:rsidR="00510B4E">
        <w:rPr>
          <w:rFonts w:hint="eastAsia"/>
        </w:rPr>
        <w:t>「</w:t>
      </w:r>
      <w:r w:rsidR="001B3AA0">
        <w:rPr>
          <w:rFonts w:hint="eastAsia"/>
        </w:rPr>
        <w:t>公共交通体系の充実</w:t>
      </w:r>
      <w:r w:rsidR="00510B4E">
        <w:rPr>
          <w:rFonts w:hint="eastAsia"/>
        </w:rPr>
        <w:t>」で</w:t>
      </w:r>
      <w:r w:rsidR="001B3AA0">
        <w:rPr>
          <w:rFonts w:hint="eastAsia"/>
        </w:rPr>
        <w:t>10.2</w:t>
      </w:r>
      <w:r w:rsidR="00510B4E">
        <w:rPr>
          <w:rFonts w:hint="eastAsia"/>
        </w:rPr>
        <w:t>％、次いで</w:t>
      </w:r>
      <w:r>
        <w:rPr>
          <w:rFonts w:hint="eastAsia"/>
        </w:rPr>
        <w:t>「</w:t>
      </w:r>
      <w:r w:rsidR="001B3AA0">
        <w:rPr>
          <w:rFonts w:hint="eastAsia"/>
        </w:rPr>
        <w:t>安全で快適な道路づくり</w:t>
      </w:r>
      <w:r>
        <w:rPr>
          <w:rFonts w:hint="eastAsia"/>
        </w:rPr>
        <w:t>」で</w:t>
      </w:r>
      <w:r w:rsidR="00510B4E">
        <w:rPr>
          <w:rFonts w:hint="eastAsia"/>
        </w:rPr>
        <w:t>9.</w:t>
      </w:r>
      <w:r w:rsidR="001B3AA0">
        <w:rPr>
          <w:rFonts w:hint="eastAsia"/>
        </w:rPr>
        <w:t>0</w:t>
      </w:r>
      <w:r w:rsidR="00510B4E">
        <w:rPr>
          <w:rFonts w:hint="eastAsia"/>
        </w:rPr>
        <w:t>％</w:t>
      </w:r>
      <w:r>
        <w:rPr>
          <w:rFonts w:hint="eastAsia"/>
        </w:rPr>
        <w:t>となっている。</w:t>
      </w:r>
    </w:p>
    <w:p w:rsidR="00D9769B" w:rsidRDefault="00D9769B"/>
    <w:p w:rsidR="00D9769B" w:rsidRDefault="00F31967">
      <w:r>
        <w:rPr>
          <w:noProof/>
        </w:rPr>
        <w:drawing>
          <wp:inline distT="0" distB="0" distL="0" distR="0">
            <wp:extent cx="5743575" cy="4162425"/>
            <wp:effectExtent l="0" t="0" r="0" b="0"/>
            <wp:docPr id="3" name="オブジェクト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769B" w:rsidRDefault="00D9769B"/>
    <w:p w:rsidR="00D9769B" w:rsidRDefault="00D9769B"/>
    <w:p w:rsidR="00D9769B" w:rsidRDefault="00D9769B"/>
    <w:p w:rsidR="00D9769B" w:rsidRDefault="00D9769B"/>
    <w:p w:rsidR="00F31967" w:rsidRDefault="00F31967"/>
    <w:p w:rsidR="00D9769B" w:rsidRDefault="00D9769B">
      <w:pPr>
        <w:rPr>
          <w:b/>
          <w:bCs/>
        </w:rPr>
      </w:pPr>
      <w:r>
        <w:rPr>
          <w:rFonts w:hint="eastAsia"/>
          <w:b/>
          <w:bCs/>
        </w:rPr>
        <w:lastRenderedPageBreak/>
        <w:t>④「活気」があふれるまちをつくるための基本方針</w:t>
      </w:r>
    </w:p>
    <w:p w:rsidR="00D9769B" w:rsidRDefault="00D9769B">
      <w:r>
        <w:rPr>
          <w:rFonts w:hint="eastAsia"/>
        </w:rPr>
        <w:t>「満足」が最も多いのは、「大学などを生かしたまちづくりの展開」で</w:t>
      </w:r>
      <w:r w:rsidR="001B3AA0">
        <w:rPr>
          <w:rFonts w:hint="eastAsia"/>
        </w:rPr>
        <w:t>3.</w:t>
      </w:r>
      <w:r w:rsidR="000D3B8A">
        <w:rPr>
          <w:rFonts w:hint="eastAsia"/>
        </w:rPr>
        <w:t>8</w:t>
      </w:r>
      <w:r>
        <w:rPr>
          <w:rFonts w:hint="eastAsia"/>
        </w:rPr>
        <w:t>％、次いで「</w:t>
      </w:r>
      <w:r w:rsidR="001B3AA0">
        <w:rPr>
          <w:rFonts w:hint="eastAsia"/>
        </w:rPr>
        <w:t>農業</w:t>
      </w:r>
      <w:r w:rsidR="00C22893">
        <w:rPr>
          <w:rFonts w:hint="eastAsia"/>
        </w:rPr>
        <w:t>の振興</w:t>
      </w:r>
      <w:r>
        <w:rPr>
          <w:rFonts w:hint="eastAsia"/>
        </w:rPr>
        <w:t>」で</w:t>
      </w:r>
      <w:r w:rsidR="001B3AA0">
        <w:rPr>
          <w:rFonts w:hint="eastAsia"/>
        </w:rPr>
        <w:t>3.6</w:t>
      </w:r>
      <w:r>
        <w:rPr>
          <w:rFonts w:hint="eastAsia"/>
        </w:rPr>
        <w:t>％となっている。</w:t>
      </w:r>
    </w:p>
    <w:p w:rsidR="00D9769B" w:rsidRDefault="00D9769B">
      <w:r>
        <w:rPr>
          <w:rFonts w:hint="eastAsia"/>
        </w:rPr>
        <w:t>「やや満足」が最も多いのは、「大学などを生かしたまちづくりの展開」で</w:t>
      </w:r>
      <w:r>
        <w:t>2</w:t>
      </w:r>
      <w:r w:rsidR="001B3AA0">
        <w:rPr>
          <w:rFonts w:hint="eastAsia"/>
        </w:rPr>
        <w:t>3.1</w:t>
      </w:r>
      <w:r>
        <w:rPr>
          <w:rFonts w:hint="eastAsia"/>
        </w:rPr>
        <w:t>％、次いで「</w:t>
      </w:r>
      <w:r w:rsidR="001B3AA0">
        <w:rPr>
          <w:rFonts w:hint="eastAsia"/>
        </w:rPr>
        <w:t>商業の振興</w:t>
      </w:r>
      <w:r>
        <w:rPr>
          <w:rFonts w:hint="eastAsia"/>
        </w:rPr>
        <w:t>」で</w:t>
      </w:r>
      <w:r w:rsidR="001B3AA0">
        <w:rPr>
          <w:rFonts w:hint="eastAsia"/>
        </w:rPr>
        <w:t>17.2</w:t>
      </w:r>
      <w:r>
        <w:rPr>
          <w:rFonts w:hint="eastAsia"/>
        </w:rPr>
        <w:t>％となっている。</w:t>
      </w:r>
    </w:p>
    <w:p w:rsidR="00D9769B" w:rsidRDefault="00D9769B">
      <w:r>
        <w:rPr>
          <w:rFonts w:hint="eastAsia"/>
        </w:rPr>
        <w:t>「どちらとも言えない」が最も多いのは、「水産業等の振興」で</w:t>
      </w:r>
      <w:r w:rsidR="00C22893">
        <w:rPr>
          <w:rFonts w:hint="eastAsia"/>
        </w:rPr>
        <w:t>73.</w:t>
      </w:r>
      <w:r w:rsidR="001B3AA0">
        <w:rPr>
          <w:rFonts w:hint="eastAsia"/>
        </w:rPr>
        <w:t>7</w:t>
      </w:r>
      <w:r>
        <w:rPr>
          <w:rFonts w:hint="eastAsia"/>
        </w:rPr>
        <w:t>％、次いで「</w:t>
      </w:r>
      <w:r w:rsidR="001B3AA0">
        <w:rPr>
          <w:rFonts w:hint="eastAsia"/>
        </w:rPr>
        <w:t>多様な交流活動の展開</w:t>
      </w:r>
      <w:r>
        <w:rPr>
          <w:rFonts w:hint="eastAsia"/>
        </w:rPr>
        <w:t>」で</w:t>
      </w:r>
      <w:r w:rsidR="001B3AA0">
        <w:rPr>
          <w:rFonts w:hint="eastAsia"/>
        </w:rPr>
        <w:t>71.5</w:t>
      </w:r>
      <w:r>
        <w:rPr>
          <w:rFonts w:hint="eastAsia"/>
        </w:rPr>
        <w:t>％となっている。</w:t>
      </w:r>
    </w:p>
    <w:p w:rsidR="00D9769B" w:rsidRDefault="00D9769B">
      <w:r>
        <w:rPr>
          <w:rFonts w:hint="eastAsia"/>
        </w:rPr>
        <w:t>「やや不満」で最も多いのは、「観光の振興」で</w:t>
      </w:r>
      <w:r w:rsidR="001B3AA0">
        <w:rPr>
          <w:rFonts w:hint="eastAsia"/>
        </w:rPr>
        <w:t>15.2</w:t>
      </w:r>
      <w:r>
        <w:rPr>
          <w:rFonts w:hint="eastAsia"/>
        </w:rPr>
        <w:t>％、次いで「商業の振興」で</w:t>
      </w:r>
      <w:r w:rsidR="001B3AA0">
        <w:t>10.7</w:t>
      </w:r>
      <w:r>
        <w:rPr>
          <w:rFonts w:hint="eastAsia"/>
        </w:rPr>
        <w:t>％となっている。</w:t>
      </w:r>
    </w:p>
    <w:p w:rsidR="00D9769B" w:rsidRDefault="00D9769B">
      <w:r>
        <w:rPr>
          <w:rFonts w:hint="eastAsia"/>
        </w:rPr>
        <w:t>「不満」で最も多いのは、「観光の振興」で</w:t>
      </w:r>
      <w:r w:rsidR="00303C7E">
        <w:rPr>
          <w:rFonts w:hint="eastAsia"/>
        </w:rPr>
        <w:t>4.5</w:t>
      </w:r>
      <w:r>
        <w:rPr>
          <w:rFonts w:hint="eastAsia"/>
        </w:rPr>
        <w:t>％、次いで「</w:t>
      </w:r>
      <w:r w:rsidR="001B3AA0">
        <w:rPr>
          <w:rFonts w:hint="eastAsia"/>
        </w:rPr>
        <w:t>まちづくり情報の提供の充実</w:t>
      </w:r>
      <w:r>
        <w:rPr>
          <w:rFonts w:hint="eastAsia"/>
        </w:rPr>
        <w:t>」で</w:t>
      </w:r>
      <w:r w:rsidR="001B3AA0">
        <w:t>2.9</w:t>
      </w:r>
      <w:r>
        <w:rPr>
          <w:rFonts w:hint="eastAsia"/>
        </w:rPr>
        <w:t>％となっている。</w:t>
      </w:r>
    </w:p>
    <w:p w:rsidR="00D9769B" w:rsidRDefault="00D9769B"/>
    <w:p w:rsidR="00D9769B" w:rsidRDefault="00D9769B">
      <w:pPr>
        <w:rPr>
          <w:b/>
          <w:bCs/>
        </w:rPr>
      </w:pPr>
      <w:r>
        <w:rPr>
          <w:rFonts w:hint="eastAsia"/>
          <w:b/>
          <w:bCs/>
        </w:rPr>
        <w:t>【行財政マネジメント】</w:t>
      </w:r>
    </w:p>
    <w:p w:rsidR="00D9769B" w:rsidRDefault="00D9769B">
      <w:r>
        <w:rPr>
          <w:rFonts w:hint="eastAsia"/>
        </w:rPr>
        <w:t>「市民から信頼される市政運営」において、「どちらとも言えない」が最も多く</w:t>
      </w:r>
      <w:r w:rsidR="001B3AA0">
        <w:rPr>
          <w:rFonts w:hint="eastAsia"/>
        </w:rPr>
        <w:t>57.6</w:t>
      </w:r>
      <w:r>
        <w:rPr>
          <w:rFonts w:hint="eastAsia"/>
        </w:rPr>
        <w:t>％、次いで「やや</w:t>
      </w:r>
      <w:r w:rsidR="00C22893">
        <w:rPr>
          <w:rFonts w:hint="eastAsia"/>
        </w:rPr>
        <w:t>満足</w:t>
      </w:r>
      <w:r>
        <w:rPr>
          <w:rFonts w:hint="eastAsia"/>
        </w:rPr>
        <w:t>」が</w:t>
      </w:r>
      <w:r w:rsidR="001B3AA0">
        <w:rPr>
          <w:rFonts w:hint="eastAsia"/>
        </w:rPr>
        <w:t>16.2</w:t>
      </w:r>
      <w:r>
        <w:rPr>
          <w:rFonts w:hint="eastAsia"/>
        </w:rPr>
        <w:t>％となっている。</w:t>
      </w:r>
    </w:p>
    <w:p w:rsidR="00D9769B" w:rsidRDefault="00D9769B">
      <w:r>
        <w:rPr>
          <w:rFonts w:hint="eastAsia"/>
        </w:rPr>
        <w:t>「行財政資源の有効活用」において、「どちらとも言えない」が最も多く</w:t>
      </w:r>
      <w:r w:rsidR="001B3AA0">
        <w:rPr>
          <w:rFonts w:hint="eastAsia"/>
        </w:rPr>
        <w:t>60.9</w:t>
      </w:r>
      <w:r>
        <w:rPr>
          <w:rFonts w:hint="eastAsia"/>
        </w:rPr>
        <w:t>％、次いで「やや不満」が</w:t>
      </w:r>
      <w:r w:rsidR="001B3AA0">
        <w:rPr>
          <w:rFonts w:hint="eastAsia"/>
        </w:rPr>
        <w:t>13.1</w:t>
      </w:r>
      <w:r>
        <w:rPr>
          <w:rFonts w:hint="eastAsia"/>
        </w:rPr>
        <w:t>％となっている。</w:t>
      </w:r>
    </w:p>
    <w:p w:rsidR="00D9769B" w:rsidRDefault="00F31967">
      <w:r>
        <w:rPr>
          <w:noProof/>
        </w:rPr>
        <w:drawing>
          <wp:inline distT="0" distB="0" distL="0" distR="0">
            <wp:extent cx="5762625" cy="4067175"/>
            <wp:effectExtent l="0" t="0" r="0" b="0"/>
            <wp:docPr id="4" name="オブジェクト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D9769B" w:rsidSect="003061A4">
      <w:footerReference w:type="even" r:id="rId10"/>
      <w:footerReference w:type="default" r:id="rId11"/>
      <w:pgSz w:w="11906" w:h="16838"/>
      <w:pgMar w:top="1985" w:right="1701" w:bottom="1701" w:left="1701" w:header="851" w:footer="992" w:gutter="0"/>
      <w:pgNumType w:start="5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7DC" w:rsidRDefault="002807DC">
      <w:r>
        <w:separator/>
      </w:r>
    </w:p>
  </w:endnote>
  <w:endnote w:type="continuationSeparator" w:id="1">
    <w:p w:rsidR="002807DC" w:rsidRDefault="00280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B8A" w:rsidRDefault="00AA20E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D3B8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D3B8A" w:rsidRDefault="000D3B8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B8A" w:rsidRDefault="00AA20E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D3B8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C70ED">
      <w:rPr>
        <w:rStyle w:val="a4"/>
        <w:noProof/>
      </w:rPr>
      <w:t>8</w:t>
    </w:r>
    <w:r>
      <w:rPr>
        <w:rStyle w:val="a4"/>
      </w:rPr>
      <w:fldChar w:fldCharType="end"/>
    </w:r>
  </w:p>
  <w:p w:rsidR="000D3B8A" w:rsidRDefault="000D3B8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7DC" w:rsidRDefault="002807DC">
      <w:r>
        <w:separator/>
      </w:r>
    </w:p>
  </w:footnote>
  <w:footnote w:type="continuationSeparator" w:id="1">
    <w:p w:rsidR="002807DC" w:rsidRDefault="002807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5EA"/>
    <w:rsid w:val="0000281D"/>
    <w:rsid w:val="000C70ED"/>
    <w:rsid w:val="000D3B8A"/>
    <w:rsid w:val="000E4CDB"/>
    <w:rsid w:val="000E75EA"/>
    <w:rsid w:val="001B3AA0"/>
    <w:rsid w:val="002807DC"/>
    <w:rsid w:val="002E58F9"/>
    <w:rsid w:val="002F05DE"/>
    <w:rsid w:val="00303C7E"/>
    <w:rsid w:val="003061A4"/>
    <w:rsid w:val="00334A46"/>
    <w:rsid w:val="003E6EEF"/>
    <w:rsid w:val="004B38DE"/>
    <w:rsid w:val="00510B4E"/>
    <w:rsid w:val="005A7670"/>
    <w:rsid w:val="005B5050"/>
    <w:rsid w:val="00661782"/>
    <w:rsid w:val="0070191D"/>
    <w:rsid w:val="007C198E"/>
    <w:rsid w:val="00806FCA"/>
    <w:rsid w:val="008F10A8"/>
    <w:rsid w:val="00911145"/>
    <w:rsid w:val="009F0175"/>
    <w:rsid w:val="009F1336"/>
    <w:rsid w:val="00A16A9D"/>
    <w:rsid w:val="00A90930"/>
    <w:rsid w:val="00AA20EC"/>
    <w:rsid w:val="00B277D4"/>
    <w:rsid w:val="00B474AE"/>
    <w:rsid w:val="00BE74DB"/>
    <w:rsid w:val="00BF57E3"/>
    <w:rsid w:val="00C175EE"/>
    <w:rsid w:val="00C22893"/>
    <w:rsid w:val="00C258E4"/>
    <w:rsid w:val="00D9743A"/>
    <w:rsid w:val="00D9769B"/>
    <w:rsid w:val="00E973EC"/>
    <w:rsid w:val="00EB3004"/>
    <w:rsid w:val="00EE3D6D"/>
    <w:rsid w:val="00F15B94"/>
    <w:rsid w:val="00F31967"/>
    <w:rsid w:val="00F52DA2"/>
    <w:rsid w:val="00FA4C0D"/>
    <w:rsid w:val="00FA5D10"/>
    <w:rsid w:val="00FC3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3061A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  <w:rsid w:val="003061A4"/>
  </w:style>
  <w:style w:type="paragraph" w:styleId="a5">
    <w:name w:val="header"/>
    <w:basedOn w:val="a"/>
    <w:link w:val="a6"/>
    <w:uiPriority w:val="99"/>
    <w:semiHidden/>
    <w:unhideWhenUsed/>
    <w:rsid w:val="000E7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E75E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31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19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___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Office_Excel_______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Office_Excel_______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Office_Excel_______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ja-JP"/>
  <c:chart>
    <c:title>
      <c:tx>
        <c:rich>
          <a:bodyPr/>
          <a:lstStyle/>
          <a:p>
            <a:pPr>
              <a:defRPr sz="429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 sz="687" b="1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満足度評価＿１</a:t>
            </a:r>
          </a:p>
          <a:p>
            <a:pPr>
              <a:defRPr sz="429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 sz="687" b="0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「人」が輝くまちをつくるための基本方針　</a:t>
            </a:r>
            <a:r>
              <a:rPr lang="en-US" altLang="ja-JP" sz="687" b="0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(N=908)</a:t>
            </a:r>
          </a:p>
        </c:rich>
      </c:tx>
      <c:layout>
        <c:manualLayout>
          <c:xMode val="edge"/>
          <c:yMode val="edge"/>
          <c:x val="0.33645833333333375"/>
          <c:y val="2.0202020202020211E-2"/>
        </c:manualLayout>
      </c:layout>
      <c:spPr>
        <a:noFill/>
        <a:ln w="15869">
          <a:noFill/>
        </a:ln>
      </c:spPr>
    </c:title>
    <c:plotArea>
      <c:layout>
        <c:manualLayout>
          <c:layoutTarget val="inner"/>
          <c:xMode val="edge"/>
          <c:yMode val="edge"/>
          <c:x val="0.18287605138466603"/>
          <c:y val="0.14309764309764325"/>
          <c:w val="0.78000623684415682"/>
          <c:h val="0.79966329966329963"/>
        </c:manualLayout>
      </c:layout>
      <c:barChart>
        <c:barDir val="bar"/>
        <c:grouping val="percentStacked"/>
        <c:ser>
          <c:idx val="4"/>
          <c:order val="0"/>
          <c:tx>
            <c:v>満足</c:v>
          </c:tx>
          <c:spPr>
            <a:solidFill>
              <a:srgbClr val="333333"/>
            </a:solidFill>
            <a:ln w="7934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3.8969816272965874E-3"/>
                  <c:y val="4.3479413558153917E-4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-1.3887795275590571E-3"/>
                  <c:y val="-1.9500340235248288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1.0685695538057692E-3"/>
                  <c:y val="-2.6515372447130899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1.5813648293963099E-3"/>
                  <c:y val="1.3962901102034174E-5"/>
                </c:manualLayout>
              </c:layout>
              <c:dLblPos val="ctr"/>
              <c:showVal val="1"/>
            </c:dLbl>
            <c:dLbl>
              <c:idx val="5"/>
              <c:layout>
                <c:manualLayout>
                  <c:x val="7.5055774278215137E-3"/>
                  <c:y val="-2.6641392048216261E-2"/>
                </c:manualLayout>
              </c:layout>
              <c:spPr>
                <a:noFill/>
                <a:ln w="15869">
                  <a:noFill/>
                </a:ln>
              </c:spPr>
              <c:txPr>
                <a:bodyPr/>
                <a:lstStyle/>
                <a:p>
                  <a:pPr>
                    <a:defRPr sz="687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dLbl>
              <c:idx val="6"/>
              <c:layout>
                <c:manualLayout>
                  <c:x val="1.0024278215223125E-2"/>
                  <c:y val="-2.3975891902401038E-2"/>
                </c:manualLayout>
              </c:layout>
              <c:spPr>
                <a:noFill/>
                <a:ln w="15869">
                  <a:noFill/>
                </a:ln>
              </c:spPr>
              <c:txPr>
                <a:bodyPr/>
                <a:lstStyle/>
                <a:p>
                  <a:pPr>
                    <a:defRPr sz="687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dLbl>
              <c:idx val="7"/>
              <c:layout>
                <c:manualLayout>
                  <c:x val="9.3244750656168007E-3"/>
                  <c:y val="-2.467739512358938E-2"/>
                </c:manualLayout>
              </c:layout>
              <c:spPr>
                <a:noFill/>
                <a:ln w="15869">
                  <a:noFill/>
                </a:ln>
              </c:spPr>
              <c:txPr>
                <a:bodyPr/>
                <a:lstStyle/>
                <a:p>
                  <a:pPr>
                    <a:defRPr sz="687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dLbl>
              <c:idx val="8"/>
              <c:layout>
                <c:manualLayout>
                  <c:x val="1.0024278215223125E-2"/>
                  <c:y val="-2.7062400028279282E-2"/>
                </c:manualLayout>
              </c:layout>
              <c:spPr>
                <a:noFill/>
                <a:ln w="15869">
                  <a:noFill/>
                </a:ln>
              </c:spPr>
              <c:txPr>
                <a:bodyPr/>
                <a:lstStyle/>
                <a:p>
                  <a:pPr>
                    <a:defRPr sz="687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dLbl>
              <c:idx val="9"/>
              <c:layout>
                <c:manualLayout>
                  <c:x val="1.1459973753280663E-3"/>
                  <c:y val="8.5580211564470119E-4"/>
                </c:manualLayout>
              </c:layout>
              <c:dLblPos val="ctr"/>
              <c:showVal val="1"/>
            </c:dLbl>
            <c:dLbl>
              <c:idx val="10"/>
              <c:layout>
                <c:manualLayout>
                  <c:x val="8.718175853018378E-3"/>
                  <c:y val="-2.5098226358068878E-2"/>
                </c:manualLayout>
              </c:layout>
              <c:spPr>
                <a:noFill/>
                <a:ln w="15869">
                  <a:noFill/>
                </a:ln>
              </c:spPr>
              <c:txPr>
                <a:bodyPr/>
                <a:lstStyle/>
                <a:p>
                  <a:pPr>
                    <a:defRPr sz="687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dLbl>
              <c:idx val="11"/>
              <c:layout>
                <c:manualLayout>
                  <c:x val="1.923228346456697E-3"/>
                  <c:y val="1.1362973567698585E-3"/>
                </c:manualLayout>
              </c:layout>
              <c:dLblPos val="ctr"/>
              <c:showVal val="1"/>
            </c:dLbl>
            <c:spPr>
              <a:noFill/>
              <a:ln w="15869">
                <a:noFill/>
              </a:ln>
            </c:spPr>
            <c:txPr>
              <a:bodyPr/>
              <a:lstStyle/>
              <a:p>
                <a:pPr>
                  <a:defRPr sz="687" b="0" i="0" u="none" strike="noStrike" baseline="0">
                    <a:solidFill>
                      <a:srgbClr val="FFFFFF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問4満足度!$B$3:$B$14</c:f>
              <c:strCache>
                <c:ptCount val="12"/>
                <c:pt idx="0">
                  <c:v>人権文化の醸成</c:v>
                </c:pt>
                <c:pt idx="1">
                  <c:v>人権の擁護</c:v>
                </c:pt>
                <c:pt idx="2">
                  <c:v>男女共同参画社会の構築</c:v>
                </c:pt>
                <c:pt idx="3">
                  <c:v>学校教育の充実</c:v>
                </c:pt>
                <c:pt idx="4">
                  <c:v>学校施設の整備</c:v>
                </c:pt>
                <c:pt idx="5">
                  <c:v>青少年の健全育成</c:v>
                </c:pt>
                <c:pt idx="6">
                  <c:v>生涯学習施設の整備・充実とネットワーク化</c:v>
                </c:pt>
                <c:pt idx="7">
                  <c:v>生涯学習活動の振興</c:v>
                </c:pt>
                <c:pt idx="8">
                  <c:v>地域学習社会の形成</c:v>
                </c:pt>
                <c:pt idx="9">
                  <c:v>市民スポーツの振興</c:v>
                </c:pt>
                <c:pt idx="10">
                  <c:v>市民文化の醸成</c:v>
                </c:pt>
                <c:pt idx="11">
                  <c:v>歴史資産の保全と活用</c:v>
                </c:pt>
              </c:strCache>
            </c:strRef>
          </c:cat>
          <c:val>
            <c:numRef>
              <c:f>問4満足度!$C$3:$C$14</c:f>
              <c:numCache>
                <c:formatCode>0.0%</c:formatCode>
                <c:ptCount val="12"/>
                <c:pt idx="0">
                  <c:v>7.0484581497797419E-2</c:v>
                </c:pt>
                <c:pt idx="1">
                  <c:v>6.2775330396475801E-2</c:v>
                </c:pt>
                <c:pt idx="2">
                  <c:v>4.0748898678414046E-2</c:v>
                </c:pt>
                <c:pt idx="3">
                  <c:v>4.7356828193832634E-2</c:v>
                </c:pt>
                <c:pt idx="4">
                  <c:v>5.8370044052863473E-2</c:v>
                </c:pt>
                <c:pt idx="5">
                  <c:v>2.9735682819383286E-2</c:v>
                </c:pt>
                <c:pt idx="6">
                  <c:v>2.8634361233480187E-2</c:v>
                </c:pt>
                <c:pt idx="7">
                  <c:v>3.303964757709256E-2</c:v>
                </c:pt>
                <c:pt idx="8">
                  <c:v>2.8634361233480187E-2</c:v>
                </c:pt>
                <c:pt idx="9">
                  <c:v>4.8458149779735685E-2</c:v>
                </c:pt>
                <c:pt idx="10">
                  <c:v>3.1938325991189453E-2</c:v>
                </c:pt>
                <c:pt idx="11">
                  <c:v>5.1762114537444989E-2</c:v>
                </c:pt>
              </c:numCache>
            </c:numRef>
          </c:val>
        </c:ser>
        <c:ser>
          <c:idx val="3"/>
          <c:order val="1"/>
          <c:tx>
            <c:v>やや満足</c:v>
          </c:tx>
          <c:spPr>
            <a:solidFill>
              <a:srgbClr val="C0C0C0"/>
            </a:solidFill>
            <a:ln w="7934">
              <a:solidFill>
                <a:srgbClr val="000000"/>
              </a:solidFill>
              <a:prstDash val="solid"/>
            </a:ln>
          </c:spPr>
          <c:dLbls>
            <c:numFmt formatCode="0.0%" sourceLinked="0"/>
            <c:spPr>
              <a:noFill/>
              <a:ln w="15869">
                <a:noFill/>
              </a:ln>
            </c:spPr>
            <c:txPr>
              <a:bodyPr/>
              <a:lstStyle/>
              <a:p>
                <a:pPr>
                  <a:defRPr sz="687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問4満足度!$B$3:$B$14</c:f>
              <c:strCache>
                <c:ptCount val="12"/>
                <c:pt idx="0">
                  <c:v>人権文化の醸成</c:v>
                </c:pt>
                <c:pt idx="1">
                  <c:v>人権の擁護</c:v>
                </c:pt>
                <c:pt idx="2">
                  <c:v>男女共同参画社会の構築</c:v>
                </c:pt>
                <c:pt idx="3">
                  <c:v>学校教育の充実</c:v>
                </c:pt>
                <c:pt idx="4">
                  <c:v>学校施設の整備</c:v>
                </c:pt>
                <c:pt idx="5">
                  <c:v>青少年の健全育成</c:v>
                </c:pt>
                <c:pt idx="6">
                  <c:v>生涯学習施設の整備・充実とネットワーク化</c:v>
                </c:pt>
                <c:pt idx="7">
                  <c:v>生涯学習活動の振興</c:v>
                </c:pt>
                <c:pt idx="8">
                  <c:v>地域学習社会の形成</c:v>
                </c:pt>
                <c:pt idx="9">
                  <c:v>市民スポーツの振興</c:v>
                </c:pt>
                <c:pt idx="10">
                  <c:v>市民文化の醸成</c:v>
                </c:pt>
                <c:pt idx="11">
                  <c:v>歴史資産の保全と活用</c:v>
                </c:pt>
              </c:strCache>
            </c:strRef>
          </c:cat>
          <c:val>
            <c:numRef>
              <c:f>問4満足度!$D$3:$D$14</c:f>
              <c:numCache>
                <c:formatCode>0.0%</c:formatCode>
                <c:ptCount val="12"/>
                <c:pt idx="0">
                  <c:v>0.21365638766519843</c:v>
                </c:pt>
                <c:pt idx="1">
                  <c:v>0.20925110132158589</c:v>
                </c:pt>
                <c:pt idx="2">
                  <c:v>0.19933920704845823</c:v>
                </c:pt>
                <c:pt idx="3">
                  <c:v>0.24779735682819415</c:v>
                </c:pt>
                <c:pt idx="4">
                  <c:v>0.27863436123348051</c:v>
                </c:pt>
                <c:pt idx="5">
                  <c:v>0.19603524229074895</c:v>
                </c:pt>
                <c:pt idx="6">
                  <c:v>0.18722466960352419</c:v>
                </c:pt>
                <c:pt idx="7">
                  <c:v>0.20814977973568283</c:v>
                </c:pt>
                <c:pt idx="8">
                  <c:v>0.17841409691629986</c:v>
                </c:pt>
                <c:pt idx="9">
                  <c:v>0.23458149779735701</c:v>
                </c:pt>
                <c:pt idx="10">
                  <c:v>0.19933920704845823</c:v>
                </c:pt>
                <c:pt idx="11">
                  <c:v>0.27863436123348051</c:v>
                </c:pt>
              </c:numCache>
            </c:numRef>
          </c:val>
        </c:ser>
        <c:ser>
          <c:idx val="2"/>
          <c:order val="2"/>
          <c:tx>
            <c:v>どちらとも言えない</c:v>
          </c:tx>
          <c:spPr>
            <a:solidFill>
              <a:srgbClr val="FFFFFF"/>
            </a:solidFill>
            <a:ln w="7934">
              <a:solidFill>
                <a:srgbClr val="000000"/>
              </a:solidFill>
              <a:prstDash val="solid"/>
            </a:ln>
          </c:spPr>
          <c:dLbls>
            <c:spPr>
              <a:noFill/>
              <a:ln w="15869">
                <a:noFill/>
              </a:ln>
            </c:spPr>
            <c:txPr>
              <a:bodyPr/>
              <a:lstStyle/>
              <a:p>
                <a:pPr>
                  <a:defRPr sz="687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問4満足度!$B$3:$B$14</c:f>
              <c:strCache>
                <c:ptCount val="12"/>
                <c:pt idx="0">
                  <c:v>人権文化の醸成</c:v>
                </c:pt>
                <c:pt idx="1">
                  <c:v>人権の擁護</c:v>
                </c:pt>
                <c:pt idx="2">
                  <c:v>男女共同参画社会の構築</c:v>
                </c:pt>
                <c:pt idx="3">
                  <c:v>学校教育の充実</c:v>
                </c:pt>
                <c:pt idx="4">
                  <c:v>学校施設の整備</c:v>
                </c:pt>
                <c:pt idx="5">
                  <c:v>青少年の健全育成</c:v>
                </c:pt>
                <c:pt idx="6">
                  <c:v>生涯学習施設の整備・充実とネットワーク化</c:v>
                </c:pt>
                <c:pt idx="7">
                  <c:v>生涯学習活動の振興</c:v>
                </c:pt>
                <c:pt idx="8">
                  <c:v>地域学習社会の形成</c:v>
                </c:pt>
                <c:pt idx="9">
                  <c:v>市民スポーツの振興</c:v>
                </c:pt>
                <c:pt idx="10">
                  <c:v>市民文化の醸成</c:v>
                </c:pt>
                <c:pt idx="11">
                  <c:v>歴史資産の保全と活用</c:v>
                </c:pt>
              </c:strCache>
            </c:strRef>
          </c:cat>
          <c:val>
            <c:numRef>
              <c:f>問4満足度!$E$3:$E$14</c:f>
              <c:numCache>
                <c:formatCode>0.0%</c:formatCode>
                <c:ptCount val="12"/>
                <c:pt idx="0">
                  <c:v>0.60352422907489045</c:v>
                </c:pt>
                <c:pt idx="1">
                  <c:v>0.58200000000000018</c:v>
                </c:pt>
                <c:pt idx="2">
                  <c:v>0.60022026431718123</c:v>
                </c:pt>
                <c:pt idx="3">
                  <c:v>0.46365638766519834</c:v>
                </c:pt>
                <c:pt idx="4">
                  <c:v>0.43722466960352457</c:v>
                </c:pt>
                <c:pt idx="5">
                  <c:v>0.57819383259912027</c:v>
                </c:pt>
                <c:pt idx="6">
                  <c:v>0.60300000000000054</c:v>
                </c:pt>
                <c:pt idx="7">
                  <c:v>0.61013215859030834</c:v>
                </c:pt>
                <c:pt idx="8">
                  <c:v>0.63215859030837096</c:v>
                </c:pt>
                <c:pt idx="9">
                  <c:v>0.57048458149779679</c:v>
                </c:pt>
                <c:pt idx="10">
                  <c:v>0.61453744493392048</c:v>
                </c:pt>
                <c:pt idx="11">
                  <c:v>0.52863436123348062</c:v>
                </c:pt>
              </c:numCache>
            </c:numRef>
          </c:val>
        </c:ser>
        <c:ser>
          <c:idx val="1"/>
          <c:order val="3"/>
          <c:tx>
            <c:v>やや不満</c:v>
          </c:tx>
          <c:spPr>
            <a:solidFill>
              <a:srgbClr val="C0C0C0"/>
            </a:solidFill>
            <a:ln w="7934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6.0274496937883035E-3"/>
                  <c:y val="-2.8184734483947062E-2"/>
                </c:manualLayout>
              </c:layout>
              <c:dLblPos val="ctr"/>
              <c:showVal val="1"/>
            </c:dLbl>
            <c:spPr>
              <a:noFill/>
              <a:ln w="15869">
                <a:noFill/>
              </a:ln>
            </c:spPr>
            <c:txPr>
              <a:bodyPr/>
              <a:lstStyle/>
              <a:p>
                <a:pPr>
                  <a:defRPr sz="687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問4満足度!$B$3:$B$14</c:f>
              <c:strCache>
                <c:ptCount val="12"/>
                <c:pt idx="0">
                  <c:v>人権文化の醸成</c:v>
                </c:pt>
                <c:pt idx="1">
                  <c:v>人権の擁護</c:v>
                </c:pt>
                <c:pt idx="2">
                  <c:v>男女共同参画社会の構築</c:v>
                </c:pt>
                <c:pt idx="3">
                  <c:v>学校教育の充実</c:v>
                </c:pt>
                <c:pt idx="4">
                  <c:v>学校施設の整備</c:v>
                </c:pt>
                <c:pt idx="5">
                  <c:v>青少年の健全育成</c:v>
                </c:pt>
                <c:pt idx="6">
                  <c:v>生涯学習施設の整備・充実とネットワーク化</c:v>
                </c:pt>
                <c:pt idx="7">
                  <c:v>生涯学習活動の振興</c:v>
                </c:pt>
                <c:pt idx="8">
                  <c:v>地域学習社会の形成</c:v>
                </c:pt>
                <c:pt idx="9">
                  <c:v>市民スポーツの振興</c:v>
                </c:pt>
                <c:pt idx="10">
                  <c:v>市民文化の醸成</c:v>
                </c:pt>
                <c:pt idx="11">
                  <c:v>歴史資産の保全と活用</c:v>
                </c:pt>
              </c:strCache>
            </c:strRef>
          </c:cat>
          <c:val>
            <c:numRef>
              <c:f>問4満足度!$F$3:$F$14</c:f>
              <c:numCache>
                <c:formatCode>0.0%</c:formatCode>
                <c:ptCount val="12"/>
                <c:pt idx="0">
                  <c:v>3.303964757709256E-2</c:v>
                </c:pt>
                <c:pt idx="1">
                  <c:v>6.2775330396475801E-2</c:v>
                </c:pt>
                <c:pt idx="2">
                  <c:v>8.0396475770925221E-2</c:v>
                </c:pt>
                <c:pt idx="3">
                  <c:v>0.13215859030837002</c:v>
                </c:pt>
                <c:pt idx="4">
                  <c:v>0.12334801762114538</c:v>
                </c:pt>
                <c:pt idx="5">
                  <c:v>0.13500000000000001</c:v>
                </c:pt>
                <c:pt idx="6">
                  <c:v>0.11894273127753315</c:v>
                </c:pt>
                <c:pt idx="7">
                  <c:v>9.5814977973568277E-2</c:v>
                </c:pt>
                <c:pt idx="8">
                  <c:v>0.1002202643171807</c:v>
                </c:pt>
                <c:pt idx="9">
                  <c:v>8.700440528634372E-2</c:v>
                </c:pt>
                <c:pt idx="10">
                  <c:v>9.2000000000000026E-2</c:v>
                </c:pt>
                <c:pt idx="11">
                  <c:v>8.8105726872246784E-2</c:v>
                </c:pt>
              </c:numCache>
            </c:numRef>
          </c:val>
        </c:ser>
        <c:ser>
          <c:idx val="0"/>
          <c:order val="4"/>
          <c:tx>
            <c:v>不満</c:v>
          </c:tx>
          <c:spPr>
            <a:solidFill>
              <a:srgbClr val="808080"/>
            </a:solidFill>
            <a:ln w="7934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1616579177602825E-2"/>
                  <c:y val="-2.8184734483947062E-2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1.5578521434820674E-3"/>
                  <c:y val="-2.3835555909046752E-2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2.5060148731409055E-3"/>
                  <c:y val="-2.4537059130234979E-2"/>
                </c:manualLayout>
              </c:layout>
              <c:dLblPos val="ctr"/>
              <c:showVal val="1"/>
            </c:dLbl>
            <c:dLbl>
              <c:idx val="3"/>
              <c:spPr>
                <a:noFill/>
                <a:ln w="15869">
                  <a:noFill/>
                </a:ln>
              </c:spPr>
              <c:txPr>
                <a:bodyPr/>
                <a:lstStyle/>
                <a:p>
                  <a:pPr>
                    <a:defRPr sz="687" b="0" i="0" u="none" strike="noStrike" baseline="0">
                      <a:solidFill>
                        <a:srgbClr val="FFFFFF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</c:dLbl>
            <c:dLbl>
              <c:idx val="4"/>
              <c:spPr>
                <a:noFill/>
                <a:ln w="15869">
                  <a:noFill/>
                </a:ln>
              </c:spPr>
              <c:txPr>
                <a:bodyPr/>
                <a:lstStyle/>
                <a:p>
                  <a:pPr>
                    <a:defRPr sz="687" b="0" i="0" u="none" strike="noStrike" baseline="0">
                      <a:solidFill>
                        <a:srgbClr val="FFFFFF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</c:dLbl>
            <c:dLbl>
              <c:idx val="5"/>
              <c:layout>
                <c:manualLayout>
                  <c:x val="2.1934601924759288E-3"/>
                  <c:y val="-2.4957890364714491E-2"/>
                </c:manualLayout>
              </c:layout>
              <c:dLblPos val="ctr"/>
              <c:showVal val="1"/>
            </c:dLbl>
            <c:dLbl>
              <c:idx val="6"/>
              <c:layout>
                <c:manualLayout>
                  <c:x val="2.6288276465441717E-3"/>
                  <c:y val="-2.3975891902401038E-2"/>
                </c:manualLayout>
              </c:layout>
              <c:dLblPos val="ctr"/>
              <c:showVal val="1"/>
            </c:dLbl>
            <c:dLbl>
              <c:idx val="7"/>
              <c:layout>
                <c:manualLayout>
                  <c:x val="1.4001531058618003E-3"/>
                  <c:y val="-2.6360896807091045E-2"/>
                </c:manualLayout>
              </c:layout>
              <c:dLblPos val="ctr"/>
              <c:showVal val="1"/>
            </c:dLbl>
            <c:dLbl>
              <c:idx val="8"/>
              <c:layout>
                <c:manualLayout>
                  <c:x val="4.7121609798774907E-3"/>
                  <c:y val="-2.5378898344777627E-2"/>
                </c:manualLayout>
              </c:layout>
              <c:dLblPos val="ctr"/>
              <c:showVal val="1"/>
            </c:dLbl>
            <c:dLbl>
              <c:idx val="9"/>
              <c:layout>
                <c:manualLayout>
                  <c:x val="-5.7117365279835105E-3"/>
                  <c:y val="-2.7763433124158982E-2"/>
                </c:manualLayout>
              </c:layout>
              <c:dLblPos val="ctr"/>
              <c:showVal val="1"/>
            </c:dLbl>
            <c:dLbl>
              <c:idx val="10"/>
              <c:layout>
                <c:manualLayout>
                  <c:x val="3.0641951006124156E-3"/>
                  <c:y val="-2.678172804157055E-2"/>
                </c:manualLayout>
              </c:layout>
              <c:dLblPos val="ctr"/>
              <c:showVal val="1"/>
            </c:dLbl>
            <c:dLbl>
              <c:idx val="11"/>
              <c:layout>
                <c:manualLayout>
                  <c:x val="-2.1602143482064955E-3"/>
                  <c:y val="-2.4116227895755443E-2"/>
                </c:manualLayout>
              </c:layout>
              <c:dLblPos val="ctr"/>
              <c:showVal val="1"/>
            </c:dLbl>
            <c:spPr>
              <a:noFill/>
              <a:ln w="15869">
                <a:noFill/>
              </a:ln>
            </c:spPr>
            <c:txPr>
              <a:bodyPr/>
              <a:lstStyle/>
              <a:p>
                <a:pPr>
                  <a:defRPr sz="687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問4満足度!$B$3:$B$14</c:f>
              <c:strCache>
                <c:ptCount val="12"/>
                <c:pt idx="0">
                  <c:v>人権文化の醸成</c:v>
                </c:pt>
                <c:pt idx="1">
                  <c:v>人権の擁護</c:v>
                </c:pt>
                <c:pt idx="2">
                  <c:v>男女共同参画社会の構築</c:v>
                </c:pt>
                <c:pt idx="3">
                  <c:v>学校教育の充実</c:v>
                </c:pt>
                <c:pt idx="4">
                  <c:v>学校施設の整備</c:v>
                </c:pt>
                <c:pt idx="5">
                  <c:v>青少年の健全育成</c:v>
                </c:pt>
                <c:pt idx="6">
                  <c:v>生涯学習施設の整備・充実とネットワーク化</c:v>
                </c:pt>
                <c:pt idx="7">
                  <c:v>生涯学習活動の振興</c:v>
                </c:pt>
                <c:pt idx="8">
                  <c:v>地域学習社会の形成</c:v>
                </c:pt>
                <c:pt idx="9">
                  <c:v>市民スポーツの振興</c:v>
                </c:pt>
                <c:pt idx="10">
                  <c:v>市民文化の醸成</c:v>
                </c:pt>
                <c:pt idx="11">
                  <c:v>歴史資産の保全と活用</c:v>
                </c:pt>
              </c:strCache>
            </c:strRef>
          </c:cat>
          <c:val>
            <c:numRef>
              <c:f>問4満足度!$G$3:$G$14</c:f>
              <c:numCache>
                <c:formatCode>0.0%</c:formatCode>
                <c:ptCount val="12"/>
                <c:pt idx="0">
                  <c:v>1.9823788546255539E-2</c:v>
                </c:pt>
                <c:pt idx="1">
                  <c:v>1.7621145374449348E-2</c:v>
                </c:pt>
                <c:pt idx="2">
                  <c:v>1.6519823788546269E-2</c:v>
                </c:pt>
                <c:pt idx="3">
                  <c:v>4.515418502202645E-2</c:v>
                </c:pt>
                <c:pt idx="4">
                  <c:v>3.8546255506607952E-2</c:v>
                </c:pt>
                <c:pt idx="5">
                  <c:v>2.4229074889867842E-2</c:v>
                </c:pt>
                <c:pt idx="6">
                  <c:v>2.3127753303964757E-2</c:v>
                </c:pt>
                <c:pt idx="7">
                  <c:v>1.6519823788546269E-2</c:v>
                </c:pt>
                <c:pt idx="8">
                  <c:v>2.092511013215859E-2</c:v>
                </c:pt>
                <c:pt idx="9">
                  <c:v>2.7533039647577126E-2</c:v>
                </c:pt>
                <c:pt idx="10">
                  <c:v>2.2026431718061675E-2</c:v>
                </c:pt>
                <c:pt idx="11">
                  <c:v>1.7000000000000012E-2</c:v>
                </c:pt>
              </c:numCache>
            </c:numRef>
          </c:val>
        </c:ser>
        <c:ser>
          <c:idx val="5"/>
          <c:order val="5"/>
          <c:tx>
            <c:v>無回答</c:v>
          </c:tx>
          <c:spPr>
            <a:solidFill>
              <a:srgbClr val="FFFFFF"/>
            </a:solidFill>
            <a:ln w="7934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3.186898512685958E-3"/>
                  <c:y val="4.3479413558153917E-4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2.2387357830271192E-3"/>
                  <c:y val="-1.9500340235248288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3.451334208223964E-3"/>
                  <c:y val="7.1546612229026689E-4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2.8450349956255952E-3"/>
                  <c:y val="-1.6695387823996422E-3"/>
                </c:manualLayout>
              </c:layout>
              <c:dLblPos val="ctr"/>
              <c:showVal val="1"/>
            </c:dLbl>
            <c:dLbl>
              <c:idx val="5"/>
              <c:layout>
                <c:manualLayout>
                  <c:x val="1.7712160979877099E-3"/>
                  <c:y val="1.9781365713124393E-3"/>
                </c:manualLayout>
              </c:layout>
              <c:dLblPos val="ctr"/>
              <c:showVal val="1"/>
            </c:dLbl>
            <c:dLbl>
              <c:idx val="6"/>
              <c:layout>
                <c:manualLayout>
                  <c:x val="2.2065835520559554E-3"/>
                  <c:y val="1.2766333501241498E-3"/>
                </c:manualLayout>
              </c:layout>
              <c:dLblPos val="ctr"/>
              <c:showVal val="1"/>
            </c:dLbl>
            <c:dLbl>
              <c:idx val="7"/>
              <c:layout>
                <c:manualLayout>
                  <c:x val="2.377515310586185E-3"/>
                  <c:y val="5.7513012893586381E-4"/>
                </c:manualLayout>
              </c:layout>
              <c:dLblPos val="ctr"/>
              <c:showVal val="1"/>
            </c:dLbl>
            <c:dLbl>
              <c:idx val="9"/>
              <c:layout>
                <c:manualLayout>
                  <c:x val="1.6777121609798293E-3"/>
                  <c:y val="-2.7763726503883986E-2"/>
                </c:manualLayout>
              </c:layout>
              <c:dLblPos val="ctr"/>
              <c:showVal val="1"/>
            </c:dLbl>
            <c:dLbl>
              <c:idx val="11"/>
              <c:layout>
                <c:manualLayout>
                  <c:x val="2.9838145231845551E-3"/>
                  <c:y val="-5.4720432673187433E-4"/>
                </c:manualLayout>
              </c:layout>
              <c:dLblPos val="ctr"/>
              <c:showVal val="1"/>
            </c:dLbl>
            <c:spPr>
              <a:noFill/>
              <a:ln w="15869">
                <a:noFill/>
              </a:ln>
            </c:spPr>
            <c:txPr>
              <a:bodyPr/>
              <a:lstStyle/>
              <a:p>
                <a:pPr>
                  <a:defRPr sz="687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問4満足度!$B$3:$B$14</c:f>
              <c:strCache>
                <c:ptCount val="12"/>
                <c:pt idx="0">
                  <c:v>人権文化の醸成</c:v>
                </c:pt>
                <c:pt idx="1">
                  <c:v>人権の擁護</c:v>
                </c:pt>
                <c:pt idx="2">
                  <c:v>男女共同参画社会の構築</c:v>
                </c:pt>
                <c:pt idx="3">
                  <c:v>学校教育の充実</c:v>
                </c:pt>
                <c:pt idx="4">
                  <c:v>学校施設の整備</c:v>
                </c:pt>
                <c:pt idx="5">
                  <c:v>青少年の健全育成</c:v>
                </c:pt>
                <c:pt idx="6">
                  <c:v>生涯学習施設の整備・充実とネットワーク化</c:v>
                </c:pt>
                <c:pt idx="7">
                  <c:v>生涯学習活動の振興</c:v>
                </c:pt>
                <c:pt idx="8">
                  <c:v>地域学習社会の形成</c:v>
                </c:pt>
                <c:pt idx="9">
                  <c:v>市民スポーツの振興</c:v>
                </c:pt>
                <c:pt idx="10">
                  <c:v>市民文化の醸成</c:v>
                </c:pt>
                <c:pt idx="11">
                  <c:v>歴史資産の保全と活用</c:v>
                </c:pt>
              </c:strCache>
            </c:strRef>
          </c:cat>
          <c:val>
            <c:numRef>
              <c:f>問4満足度!$H$3:$H$14</c:f>
              <c:numCache>
                <c:formatCode>0.0%</c:formatCode>
                <c:ptCount val="12"/>
                <c:pt idx="0">
                  <c:v>5.9471365638766496E-2</c:v>
                </c:pt>
                <c:pt idx="1">
                  <c:v>6.4977973568281971E-2</c:v>
                </c:pt>
                <c:pt idx="2">
                  <c:v>6.2775330396475801E-2</c:v>
                </c:pt>
                <c:pt idx="3">
                  <c:v>6.3876651982378921E-2</c:v>
                </c:pt>
                <c:pt idx="4">
                  <c:v>6.3876651982378921E-2</c:v>
                </c:pt>
                <c:pt idx="5">
                  <c:v>3.7444933920704887E-2</c:v>
                </c:pt>
                <c:pt idx="6">
                  <c:v>3.8546255506607952E-2</c:v>
                </c:pt>
                <c:pt idx="7">
                  <c:v>3.6343612334801795E-2</c:v>
                </c:pt>
                <c:pt idx="8">
                  <c:v>3.9647577092511051E-2</c:v>
                </c:pt>
                <c:pt idx="9">
                  <c:v>3.1938325991189453E-2</c:v>
                </c:pt>
                <c:pt idx="10">
                  <c:v>3.9647577092511051E-2</c:v>
                </c:pt>
                <c:pt idx="11">
                  <c:v>3.5242290748898682E-2</c:v>
                </c:pt>
              </c:numCache>
            </c:numRef>
          </c:val>
        </c:ser>
        <c:dLbls>
          <c:showVal val="1"/>
        </c:dLbls>
        <c:overlap val="100"/>
        <c:axId val="83500416"/>
        <c:axId val="83502592"/>
      </c:barChart>
      <c:catAx>
        <c:axId val="83500416"/>
        <c:scaling>
          <c:orientation val="maxMin"/>
        </c:scaling>
        <c:axPos val="l"/>
        <c:numFmt formatCode="General" sourceLinked="1"/>
        <c:majorTickMark val="in"/>
        <c:tickLblPos val="nextTo"/>
        <c:spPr>
          <a:ln w="198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25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83502592"/>
        <c:crosses val="autoZero"/>
        <c:auto val="1"/>
        <c:lblAlgn val="ctr"/>
        <c:lblOffset val="100"/>
        <c:tickLblSkip val="1"/>
        <c:tickMarkSkip val="1"/>
      </c:catAx>
      <c:valAx>
        <c:axId val="83502592"/>
        <c:scaling>
          <c:orientation val="minMax"/>
        </c:scaling>
        <c:axPos val="t"/>
        <c:majorGridlines>
          <c:spPr>
            <a:ln w="1984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in"/>
        <c:tickLblPos val="nextTo"/>
        <c:spPr>
          <a:ln w="198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87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83500416"/>
        <c:crosses val="autoZero"/>
        <c:crossBetween val="between"/>
        <c:majorUnit val="0.25"/>
      </c:valAx>
      <c:spPr>
        <a:solidFill>
          <a:srgbClr val="FFFFFF"/>
        </a:solidFill>
        <a:ln w="7934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32500000000000034"/>
          <c:y val="0.96127946127946162"/>
          <c:w val="0.48437500000000022"/>
          <c:h val="3.5353535353535151E-2"/>
        </c:manualLayout>
      </c:layout>
      <c:spPr>
        <a:solidFill>
          <a:srgbClr val="FFFFFF"/>
        </a:solidFill>
        <a:ln w="15869">
          <a:noFill/>
        </a:ln>
      </c:spPr>
      <c:txPr>
        <a:bodyPr/>
        <a:lstStyle/>
        <a:p>
          <a:pPr>
            <a:defRPr sz="631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687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ja-JP"/>
  <c:chart>
    <c:title>
      <c:tx>
        <c:rich>
          <a:bodyPr/>
          <a:lstStyle/>
          <a:p>
            <a:pPr>
              <a:defRPr sz="437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 sz="693" b="1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満足度評価＿２</a:t>
            </a:r>
            <a:endParaRPr lang="ja-JP" altLang="en-US" sz="1100" b="0" i="0" strike="noStrike">
              <a:solidFill>
                <a:srgbClr val="000000"/>
              </a:solidFill>
              <a:latin typeface="ＭＳ Ｐゴシック"/>
              <a:ea typeface="ＭＳ Ｐゴシック"/>
            </a:endParaRPr>
          </a:p>
          <a:p>
            <a:pPr>
              <a:defRPr sz="437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 sz="693" b="0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「安心」が得られるまちをつくるための基本方針　</a:t>
            </a:r>
            <a:r>
              <a:rPr lang="en-US" altLang="ja-JP" sz="693" b="0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(N=908)</a:t>
            </a:r>
          </a:p>
        </c:rich>
      </c:tx>
      <c:layout>
        <c:manualLayout>
          <c:xMode val="edge"/>
          <c:yMode val="edge"/>
          <c:x val="0.31250000000000028"/>
          <c:y val="2.0202020202020211E-2"/>
        </c:manualLayout>
      </c:layout>
      <c:spPr>
        <a:noFill/>
        <a:ln w="15999">
          <a:noFill/>
        </a:ln>
      </c:spPr>
    </c:title>
    <c:plotArea>
      <c:layout>
        <c:manualLayout>
          <c:layoutTarget val="inner"/>
          <c:xMode val="edge"/>
          <c:yMode val="edge"/>
          <c:x val="0.22465043751691441"/>
          <c:y val="0.14141414141414158"/>
          <c:w val="0.73622244846235452"/>
          <c:h val="0.8013468013468017"/>
        </c:manualLayout>
      </c:layout>
      <c:barChart>
        <c:barDir val="bar"/>
        <c:grouping val="percentStacked"/>
        <c:ser>
          <c:idx val="4"/>
          <c:order val="0"/>
          <c:tx>
            <c:v>満足</c:v>
          </c:tx>
          <c:spPr>
            <a:solidFill>
              <a:srgbClr val="333333"/>
            </a:solidFill>
            <a:ln w="80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2251749781277221E-3"/>
                  <c:y val="-8.9786756453422091E-4"/>
                </c:manualLayout>
              </c:layout>
              <c:spPr>
                <a:noFill/>
                <a:ln w="15999">
                  <a:noFill/>
                </a:ln>
              </c:spPr>
              <c:txPr>
                <a:bodyPr/>
                <a:lstStyle/>
                <a:p>
                  <a:pPr>
                    <a:defRPr sz="693" b="0" i="0" u="none" strike="noStrike" baseline="0">
                      <a:solidFill>
                        <a:srgbClr val="FFFFFF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dLbl>
              <c:idx val="1"/>
              <c:layout>
                <c:manualLayout>
                  <c:x val="2.2473753280839912E-3"/>
                  <c:y val="-1.9416386083052749E-2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4.7454068241469735E-3"/>
                  <c:y val="-1.9416386083052725E-2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6.6067366579177552E-3"/>
                  <c:y val="-2.2783389450056108E-2"/>
                </c:manualLayout>
              </c:layout>
              <c:dLblPos val="ctr"/>
              <c:showVal val="1"/>
            </c:dLbl>
            <c:dLbl>
              <c:idx val="4"/>
              <c:layout>
                <c:manualLayout>
                  <c:x val="5.1503718285214337E-3"/>
                  <c:y val="-1.9416386083052743E-2"/>
                </c:manualLayout>
              </c:layout>
              <c:dLblPos val="ctr"/>
              <c:showVal val="1"/>
            </c:dLbl>
            <c:dLbl>
              <c:idx val="5"/>
              <c:layout>
                <c:manualLayout>
                  <c:x val="5.9797681539807655E-3"/>
                  <c:y val="-1.7732884399551088E-2"/>
                </c:manualLayout>
              </c:layout>
              <c:dLblPos val="ctr"/>
              <c:showVal val="1"/>
            </c:dLbl>
            <c:dLbl>
              <c:idx val="6"/>
              <c:layout>
                <c:manualLayout>
                  <c:x val="6.6067366579177552E-3"/>
                  <c:y val="-1.9416386083052753E-2"/>
                </c:manualLayout>
              </c:layout>
              <c:dLblPos val="ctr"/>
              <c:showVal val="1"/>
            </c:dLbl>
            <c:dLbl>
              <c:idx val="7"/>
              <c:layout>
                <c:manualLayout>
                  <c:x val="7.4361329833770836E-3"/>
                  <c:y val="-1.7732884399551101E-2"/>
                </c:manualLayout>
              </c:layout>
              <c:dLblPos val="ctr"/>
              <c:showVal val="1"/>
            </c:dLbl>
            <c:dLbl>
              <c:idx val="8"/>
              <c:layout>
                <c:manualLayout>
                  <c:x val="4.947834645669287E-3"/>
                  <c:y val="-2.1099887766554481E-2"/>
                </c:manualLayout>
              </c:layout>
              <c:dLblPos val="ctr"/>
              <c:showVal val="1"/>
            </c:dLbl>
            <c:dLbl>
              <c:idx val="9"/>
              <c:layout>
                <c:manualLayout>
                  <c:x val="8.0074365704286784E-4"/>
                  <c:y val="7.856341189675009E-4"/>
                </c:manualLayout>
              </c:layout>
              <c:tx>
                <c:rich>
                  <a:bodyPr/>
                  <a:lstStyle/>
                  <a:p>
                    <a:pPr>
                      <a:defRPr sz="693" b="0" i="0" u="none" strike="noStrike" baseline="0">
                        <a:solidFill>
                          <a:srgbClr val="FFFFFF"/>
                        </a:solidFill>
                        <a:latin typeface="ＭＳ Ｐゴシック"/>
                        <a:ea typeface="ＭＳ Ｐゴシック"/>
                        <a:cs typeface="ＭＳ Ｐゴシック"/>
                      </a:defRPr>
                    </a:pPr>
                    <a:r>
                      <a:rPr lang="en-US" altLang="ja-JP"/>
                      <a:t>4.6%</a:t>
                    </a:r>
                  </a:p>
                </c:rich>
              </c:tx>
              <c:spPr>
                <a:noFill/>
                <a:ln w="15999">
                  <a:noFill/>
                </a:ln>
              </c:spPr>
              <c:dLblPos val="ctr"/>
            </c:dLbl>
            <c:dLbl>
              <c:idx val="10"/>
              <c:layout>
                <c:manualLayout>
                  <c:x val="1.8424103237095302E-3"/>
                  <c:y val="-8.9786756453424032E-4"/>
                </c:manualLayout>
              </c:layout>
              <c:spPr>
                <a:noFill/>
                <a:ln w="15999">
                  <a:noFill/>
                </a:ln>
              </c:spPr>
              <c:txPr>
                <a:bodyPr/>
                <a:lstStyle/>
                <a:p>
                  <a:pPr>
                    <a:defRPr sz="693" b="0" i="0" u="none" strike="noStrike" baseline="0">
                      <a:solidFill>
                        <a:srgbClr val="FFFFFF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dLbl>
              <c:idx val="11"/>
              <c:layout>
                <c:manualLayout>
                  <c:x val="5.7676071741032476E-3"/>
                  <c:y val="-1.9416386083052743E-2"/>
                </c:manualLayout>
              </c:layout>
              <c:dLblPos val="ctr"/>
              <c:showVal val="1"/>
            </c:dLbl>
            <c:dLbl>
              <c:idx val="12"/>
              <c:layout>
                <c:manualLayout>
                  <c:x val="5.1503718285214337E-3"/>
                  <c:y val="-1.9416386083052743E-2"/>
                </c:manualLayout>
              </c:layout>
              <c:dLblPos val="ctr"/>
              <c:showVal val="1"/>
            </c:dLbl>
            <c:dLbl>
              <c:idx val="13"/>
              <c:layout>
                <c:manualLayout>
                  <c:x val="1.6301399825021825E-3"/>
                  <c:y val="-1.9416386083052753E-2"/>
                </c:manualLayout>
              </c:layout>
              <c:dLblPos val="ctr"/>
              <c:showVal val="1"/>
            </c:dLbl>
            <c:dLbl>
              <c:idx val="14"/>
              <c:layout>
                <c:manualLayout>
                  <c:x val="5.1601049868766295E-3"/>
                  <c:y val="-2.1099887766554415E-2"/>
                </c:manualLayout>
              </c:layout>
              <c:dLblPos val="ctr"/>
              <c:showVal val="1"/>
            </c:dLbl>
            <c:dLbl>
              <c:idx val="15"/>
              <c:layout>
                <c:manualLayout>
                  <c:x val="4.3307086614173184E-3"/>
                  <c:y val="-1.7732884399551053E-2"/>
                </c:manualLayout>
              </c:layout>
              <c:dLblPos val="ctr"/>
              <c:showVal val="1"/>
            </c:dLbl>
            <c:dLbl>
              <c:idx val="16"/>
              <c:layout>
                <c:manualLayout>
                  <c:x val="6.079396325459175E-4"/>
                  <c:y val="2.4691358024691813E-3"/>
                </c:manualLayout>
              </c:layout>
              <c:spPr>
                <a:noFill/>
                <a:ln w="15999">
                  <a:noFill/>
                </a:ln>
              </c:spPr>
              <c:txPr>
                <a:bodyPr/>
                <a:lstStyle/>
                <a:p>
                  <a:pPr>
                    <a:defRPr sz="693" b="0" i="0" u="none" strike="noStrike" baseline="0">
                      <a:solidFill>
                        <a:srgbClr val="FFFFFF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spPr>
              <a:noFill/>
              <a:ln w="15999">
                <a:noFill/>
              </a:ln>
            </c:spPr>
            <c:txPr>
              <a:bodyPr/>
              <a:lstStyle/>
              <a:p>
                <a:pPr>
                  <a:defRPr sz="693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問4満足度!$B$17:$B$33</c:f>
              <c:strCache>
                <c:ptCount val="17"/>
                <c:pt idx="0">
                  <c:v>母子保健等の充実</c:v>
                </c:pt>
                <c:pt idx="1">
                  <c:v>就学前教育・保育の充実</c:v>
                </c:pt>
                <c:pt idx="2">
                  <c:v>放課後児童対策の充実</c:v>
                </c:pt>
                <c:pt idx="3">
                  <c:v>地域ぐるみの子ども・子育て支援</c:v>
                </c:pt>
                <c:pt idx="4">
                  <c:v>いきいきとした高齢社会の実現</c:v>
                </c:pt>
                <c:pt idx="5">
                  <c:v>あんしんできる高齢期</c:v>
                </c:pt>
                <c:pt idx="6">
                  <c:v>障害のある人の生活支援</c:v>
                </c:pt>
                <c:pt idx="7">
                  <c:v>障害のある人の社会参加の促進</c:v>
                </c:pt>
                <c:pt idx="8">
                  <c:v>「地域力」のあるまちづくり</c:v>
                </c:pt>
                <c:pt idx="9">
                  <c:v>市民の健康づくり</c:v>
                </c:pt>
                <c:pt idx="10">
                  <c:v>医療保険制度等の適正運用</c:v>
                </c:pt>
                <c:pt idx="11">
                  <c:v>生活安定への支援</c:v>
                </c:pt>
                <c:pt idx="12">
                  <c:v>暮らしの安心の確保</c:v>
                </c:pt>
                <c:pt idx="13">
                  <c:v>火葬場・墓地の適正管理</c:v>
                </c:pt>
                <c:pt idx="14">
                  <c:v>災害に強いまちづくり</c:v>
                </c:pt>
                <c:pt idx="15">
                  <c:v>犯罪のないまちづくり</c:v>
                </c:pt>
                <c:pt idx="16">
                  <c:v>治水対策</c:v>
                </c:pt>
              </c:strCache>
            </c:strRef>
          </c:cat>
          <c:val>
            <c:numRef>
              <c:f>問4満足度!$C$17:$C$33</c:f>
              <c:numCache>
                <c:formatCode>0.0%</c:formatCode>
                <c:ptCount val="17"/>
                <c:pt idx="0">
                  <c:v>5.0660792951541946E-2</c:v>
                </c:pt>
                <c:pt idx="1">
                  <c:v>3.9647577092511016E-2</c:v>
                </c:pt>
                <c:pt idx="2">
                  <c:v>3.7999999999999999E-2</c:v>
                </c:pt>
                <c:pt idx="3">
                  <c:v>3.0837004405286379E-2</c:v>
                </c:pt>
                <c:pt idx="4">
                  <c:v>3.1938325991189426E-2</c:v>
                </c:pt>
                <c:pt idx="5">
                  <c:v>2.9735682819383279E-2</c:v>
                </c:pt>
                <c:pt idx="6">
                  <c:v>3.0837004405286379E-2</c:v>
                </c:pt>
                <c:pt idx="7">
                  <c:v>2.863436123348018E-2</c:v>
                </c:pt>
                <c:pt idx="8">
                  <c:v>3.5242290748898682E-2</c:v>
                </c:pt>
                <c:pt idx="9">
                  <c:v>4.6255506607929438E-2</c:v>
                </c:pt>
                <c:pt idx="10">
                  <c:v>4.6255506607929438E-2</c:v>
                </c:pt>
                <c:pt idx="11">
                  <c:v>2.7533039647577116E-2</c:v>
                </c:pt>
                <c:pt idx="12">
                  <c:v>3.1938325991189426E-2</c:v>
                </c:pt>
                <c:pt idx="13">
                  <c:v>4.4052863436123413E-2</c:v>
                </c:pt>
                <c:pt idx="14">
                  <c:v>3.7999999999999999E-2</c:v>
                </c:pt>
                <c:pt idx="15">
                  <c:v>3.9647577092511016E-2</c:v>
                </c:pt>
                <c:pt idx="16">
                  <c:v>5.5066079295154183E-2</c:v>
                </c:pt>
              </c:numCache>
            </c:numRef>
          </c:val>
        </c:ser>
        <c:ser>
          <c:idx val="3"/>
          <c:order val="1"/>
          <c:tx>
            <c:v>やや満足</c:v>
          </c:tx>
          <c:spPr>
            <a:solidFill>
              <a:srgbClr val="C0C0C0"/>
            </a:solidFill>
            <a:ln w="8000">
              <a:solidFill>
                <a:srgbClr val="000000"/>
              </a:solidFill>
              <a:prstDash val="solid"/>
            </a:ln>
          </c:spPr>
          <c:dLbls>
            <c:spPr>
              <a:noFill/>
              <a:ln w="15999">
                <a:noFill/>
              </a:ln>
            </c:spPr>
            <c:txPr>
              <a:bodyPr/>
              <a:lstStyle/>
              <a:p>
                <a:pPr>
                  <a:defRPr sz="693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問4満足度!$B$17:$B$33</c:f>
              <c:strCache>
                <c:ptCount val="17"/>
                <c:pt idx="0">
                  <c:v>母子保健等の充実</c:v>
                </c:pt>
                <c:pt idx="1">
                  <c:v>就学前教育・保育の充実</c:v>
                </c:pt>
                <c:pt idx="2">
                  <c:v>放課後児童対策の充実</c:v>
                </c:pt>
                <c:pt idx="3">
                  <c:v>地域ぐるみの子ども・子育て支援</c:v>
                </c:pt>
                <c:pt idx="4">
                  <c:v>いきいきとした高齢社会の実現</c:v>
                </c:pt>
                <c:pt idx="5">
                  <c:v>あんしんできる高齢期</c:v>
                </c:pt>
                <c:pt idx="6">
                  <c:v>障害のある人の生活支援</c:v>
                </c:pt>
                <c:pt idx="7">
                  <c:v>障害のある人の社会参加の促進</c:v>
                </c:pt>
                <c:pt idx="8">
                  <c:v>「地域力」のあるまちづくり</c:v>
                </c:pt>
                <c:pt idx="9">
                  <c:v>市民の健康づくり</c:v>
                </c:pt>
                <c:pt idx="10">
                  <c:v>医療保険制度等の適正運用</c:v>
                </c:pt>
                <c:pt idx="11">
                  <c:v>生活安定への支援</c:v>
                </c:pt>
                <c:pt idx="12">
                  <c:v>暮らしの安心の確保</c:v>
                </c:pt>
                <c:pt idx="13">
                  <c:v>火葬場・墓地の適正管理</c:v>
                </c:pt>
                <c:pt idx="14">
                  <c:v>災害に強いまちづくり</c:v>
                </c:pt>
                <c:pt idx="15">
                  <c:v>犯罪のないまちづくり</c:v>
                </c:pt>
                <c:pt idx="16">
                  <c:v>治水対策</c:v>
                </c:pt>
              </c:strCache>
            </c:strRef>
          </c:cat>
          <c:val>
            <c:numRef>
              <c:f>問4満足度!$D$17:$D$33</c:f>
              <c:numCache>
                <c:formatCode>0.0%</c:formatCode>
                <c:ptCount val="17"/>
                <c:pt idx="0">
                  <c:v>0.20814977973568283</c:v>
                </c:pt>
                <c:pt idx="1">
                  <c:v>0.17731277533039649</c:v>
                </c:pt>
                <c:pt idx="2">
                  <c:v>0.16189427312775331</c:v>
                </c:pt>
                <c:pt idx="3">
                  <c:v>0.17400881057268724</c:v>
                </c:pt>
                <c:pt idx="4">
                  <c:v>0.18722466960352419</c:v>
                </c:pt>
                <c:pt idx="5">
                  <c:v>0.14537444933920704</c:v>
                </c:pt>
                <c:pt idx="6">
                  <c:v>0.12775330396475768</c:v>
                </c:pt>
                <c:pt idx="7">
                  <c:v>9.8017621145374545E-2</c:v>
                </c:pt>
                <c:pt idx="8">
                  <c:v>0.16299559471365638</c:v>
                </c:pt>
                <c:pt idx="9">
                  <c:v>0.2621145374449339</c:v>
                </c:pt>
                <c:pt idx="10">
                  <c:v>0.21365638766519843</c:v>
                </c:pt>
                <c:pt idx="11">
                  <c:v>0.11784140969162996</c:v>
                </c:pt>
                <c:pt idx="12">
                  <c:v>0.15700000000000014</c:v>
                </c:pt>
                <c:pt idx="13">
                  <c:v>0.1640969162995593</c:v>
                </c:pt>
                <c:pt idx="14">
                  <c:v>0.18612334801762132</c:v>
                </c:pt>
                <c:pt idx="15">
                  <c:v>0.14977973568281941</c:v>
                </c:pt>
                <c:pt idx="16">
                  <c:v>0.19052863436123349</c:v>
                </c:pt>
              </c:numCache>
            </c:numRef>
          </c:val>
        </c:ser>
        <c:ser>
          <c:idx val="2"/>
          <c:order val="2"/>
          <c:tx>
            <c:v>どちらとも言えない</c:v>
          </c:tx>
          <c:spPr>
            <a:solidFill>
              <a:srgbClr val="FFFFFF"/>
            </a:solidFill>
            <a:ln w="8000">
              <a:solidFill>
                <a:srgbClr val="000000"/>
              </a:solidFill>
              <a:prstDash val="solid"/>
            </a:ln>
          </c:spPr>
          <c:dLbls>
            <c:spPr>
              <a:noFill/>
              <a:ln w="15999">
                <a:noFill/>
              </a:ln>
            </c:spPr>
            <c:txPr>
              <a:bodyPr/>
              <a:lstStyle/>
              <a:p>
                <a:pPr>
                  <a:defRPr sz="693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問4満足度!$B$17:$B$33</c:f>
              <c:strCache>
                <c:ptCount val="17"/>
                <c:pt idx="0">
                  <c:v>母子保健等の充実</c:v>
                </c:pt>
                <c:pt idx="1">
                  <c:v>就学前教育・保育の充実</c:v>
                </c:pt>
                <c:pt idx="2">
                  <c:v>放課後児童対策の充実</c:v>
                </c:pt>
                <c:pt idx="3">
                  <c:v>地域ぐるみの子ども・子育て支援</c:v>
                </c:pt>
                <c:pt idx="4">
                  <c:v>いきいきとした高齢社会の実現</c:v>
                </c:pt>
                <c:pt idx="5">
                  <c:v>あんしんできる高齢期</c:v>
                </c:pt>
                <c:pt idx="6">
                  <c:v>障害のある人の生活支援</c:v>
                </c:pt>
                <c:pt idx="7">
                  <c:v>障害のある人の社会参加の促進</c:v>
                </c:pt>
                <c:pt idx="8">
                  <c:v>「地域力」のあるまちづくり</c:v>
                </c:pt>
                <c:pt idx="9">
                  <c:v>市民の健康づくり</c:v>
                </c:pt>
                <c:pt idx="10">
                  <c:v>医療保険制度等の適正運用</c:v>
                </c:pt>
                <c:pt idx="11">
                  <c:v>生活安定への支援</c:v>
                </c:pt>
                <c:pt idx="12">
                  <c:v>暮らしの安心の確保</c:v>
                </c:pt>
                <c:pt idx="13">
                  <c:v>火葬場・墓地の適正管理</c:v>
                </c:pt>
                <c:pt idx="14">
                  <c:v>災害に強いまちづくり</c:v>
                </c:pt>
                <c:pt idx="15">
                  <c:v>犯罪のないまちづくり</c:v>
                </c:pt>
                <c:pt idx="16">
                  <c:v>治水対策</c:v>
                </c:pt>
              </c:strCache>
            </c:strRef>
          </c:cat>
          <c:val>
            <c:numRef>
              <c:f>問4満足度!$E$17:$E$33</c:f>
              <c:numCache>
                <c:formatCode>0.0%</c:formatCode>
                <c:ptCount val="17"/>
                <c:pt idx="0">
                  <c:v>0.58149779735682816</c:v>
                </c:pt>
                <c:pt idx="1">
                  <c:v>0.54185022026431762</c:v>
                </c:pt>
                <c:pt idx="2">
                  <c:v>0.59361233480176101</c:v>
                </c:pt>
                <c:pt idx="3">
                  <c:v>0.57378854625550724</c:v>
                </c:pt>
                <c:pt idx="4">
                  <c:v>0.55837004405286339</c:v>
                </c:pt>
                <c:pt idx="5">
                  <c:v>0.52863436123348062</c:v>
                </c:pt>
                <c:pt idx="6">
                  <c:v>0.63600000000000056</c:v>
                </c:pt>
                <c:pt idx="7">
                  <c:v>0.66900000000000082</c:v>
                </c:pt>
                <c:pt idx="8">
                  <c:v>0.61123348017621149</c:v>
                </c:pt>
                <c:pt idx="9">
                  <c:v>0.52900000000000003</c:v>
                </c:pt>
                <c:pt idx="10">
                  <c:v>0.51431718061673926</c:v>
                </c:pt>
                <c:pt idx="11">
                  <c:v>0.64207048458149873</c:v>
                </c:pt>
                <c:pt idx="12">
                  <c:v>0.59030837004405257</c:v>
                </c:pt>
                <c:pt idx="13">
                  <c:v>0.61453744493392048</c:v>
                </c:pt>
                <c:pt idx="14">
                  <c:v>0.56938325991189431</c:v>
                </c:pt>
                <c:pt idx="15">
                  <c:v>0.48127753303964804</c:v>
                </c:pt>
                <c:pt idx="16">
                  <c:v>0.59361233480176101</c:v>
                </c:pt>
              </c:numCache>
            </c:numRef>
          </c:val>
        </c:ser>
        <c:ser>
          <c:idx val="1"/>
          <c:order val="3"/>
          <c:tx>
            <c:v>やや不満</c:v>
          </c:tx>
          <c:spPr>
            <a:solidFill>
              <a:srgbClr val="C0C0C0"/>
            </a:solidFill>
            <a:ln w="8000">
              <a:solidFill>
                <a:srgbClr val="000000"/>
              </a:solidFill>
              <a:prstDash val="solid"/>
            </a:ln>
          </c:spPr>
          <c:dLbls>
            <c:spPr>
              <a:noFill/>
              <a:ln w="15999">
                <a:noFill/>
              </a:ln>
            </c:spPr>
            <c:txPr>
              <a:bodyPr/>
              <a:lstStyle/>
              <a:p>
                <a:pPr>
                  <a:defRPr sz="693" b="0" i="0" u="none" strike="noStrike" baseline="0">
                    <a:solidFill>
                      <a:srgbClr val="333333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問4満足度!$B$17:$B$33</c:f>
              <c:strCache>
                <c:ptCount val="17"/>
                <c:pt idx="0">
                  <c:v>母子保健等の充実</c:v>
                </c:pt>
                <c:pt idx="1">
                  <c:v>就学前教育・保育の充実</c:v>
                </c:pt>
                <c:pt idx="2">
                  <c:v>放課後児童対策の充実</c:v>
                </c:pt>
                <c:pt idx="3">
                  <c:v>地域ぐるみの子ども・子育て支援</c:v>
                </c:pt>
                <c:pt idx="4">
                  <c:v>いきいきとした高齢社会の実現</c:v>
                </c:pt>
                <c:pt idx="5">
                  <c:v>あんしんできる高齢期</c:v>
                </c:pt>
                <c:pt idx="6">
                  <c:v>障害のある人の生活支援</c:v>
                </c:pt>
                <c:pt idx="7">
                  <c:v>障害のある人の社会参加の促進</c:v>
                </c:pt>
                <c:pt idx="8">
                  <c:v>「地域力」のあるまちづくり</c:v>
                </c:pt>
                <c:pt idx="9">
                  <c:v>市民の健康づくり</c:v>
                </c:pt>
                <c:pt idx="10">
                  <c:v>医療保険制度等の適正運用</c:v>
                </c:pt>
                <c:pt idx="11">
                  <c:v>生活安定への支援</c:v>
                </c:pt>
                <c:pt idx="12">
                  <c:v>暮らしの安心の確保</c:v>
                </c:pt>
                <c:pt idx="13">
                  <c:v>火葬場・墓地の適正管理</c:v>
                </c:pt>
                <c:pt idx="14">
                  <c:v>災害に強いまちづくり</c:v>
                </c:pt>
                <c:pt idx="15">
                  <c:v>犯罪のないまちづくり</c:v>
                </c:pt>
                <c:pt idx="16">
                  <c:v>治水対策</c:v>
                </c:pt>
              </c:strCache>
            </c:strRef>
          </c:cat>
          <c:val>
            <c:numRef>
              <c:f>問4満足度!$F$17:$F$33</c:f>
              <c:numCache>
                <c:formatCode>0.0%</c:formatCode>
                <c:ptCount val="17"/>
                <c:pt idx="0">
                  <c:v>9.9118942731277651E-2</c:v>
                </c:pt>
                <c:pt idx="1">
                  <c:v>0.15088105726872247</c:v>
                </c:pt>
                <c:pt idx="2">
                  <c:v>0.12444933920704838</c:v>
                </c:pt>
                <c:pt idx="3">
                  <c:v>0.14537444933920704</c:v>
                </c:pt>
                <c:pt idx="4">
                  <c:v>0.15088105726872247</c:v>
                </c:pt>
                <c:pt idx="5">
                  <c:v>0.21365638766519843</c:v>
                </c:pt>
                <c:pt idx="6">
                  <c:v>0.1387665198237884</c:v>
                </c:pt>
                <c:pt idx="7">
                  <c:v>0.12995594713656394</c:v>
                </c:pt>
                <c:pt idx="8">
                  <c:v>0.12995594713656394</c:v>
                </c:pt>
                <c:pt idx="9">
                  <c:v>0.10682819383259912</c:v>
                </c:pt>
                <c:pt idx="10">
                  <c:v>0.14867841409691629</c:v>
                </c:pt>
                <c:pt idx="11">
                  <c:v>0.12334801762114538</c:v>
                </c:pt>
                <c:pt idx="12">
                  <c:v>0.13325991189427328</c:v>
                </c:pt>
                <c:pt idx="13">
                  <c:v>0.1112334801762116</c:v>
                </c:pt>
                <c:pt idx="14">
                  <c:v>0.14096916299559487</c:v>
                </c:pt>
                <c:pt idx="15">
                  <c:v>0.23017621145374437</c:v>
                </c:pt>
                <c:pt idx="16">
                  <c:v>9.9118942731277651E-2</c:v>
                </c:pt>
              </c:numCache>
            </c:numRef>
          </c:val>
        </c:ser>
        <c:ser>
          <c:idx val="0"/>
          <c:order val="4"/>
          <c:tx>
            <c:v>不満</c:v>
          </c:tx>
          <c:spPr>
            <a:solidFill>
              <a:srgbClr val="808080"/>
            </a:solidFill>
            <a:ln w="80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5459317585302418E-3"/>
                  <c:y val="-1.9416386083052743E-2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2.1572615923009307E-3"/>
                  <c:y val="7.856341189674778E-4"/>
                </c:manualLayout>
              </c:layout>
              <c:spPr>
                <a:noFill/>
                <a:ln w="15999">
                  <a:noFill/>
                </a:ln>
              </c:spPr>
              <c:txPr>
                <a:bodyPr/>
                <a:lstStyle/>
                <a:p>
                  <a:pPr>
                    <a:defRPr sz="693" b="0" i="0" u="none" strike="noStrike" baseline="0">
                      <a:solidFill>
                        <a:srgbClr val="FFFFFF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dLbl>
              <c:idx val="2"/>
              <c:layout>
                <c:manualLayout>
                  <c:x val="1.3375984251968085E-3"/>
                  <c:y val="7.8563411896744235E-4"/>
                </c:manualLayout>
              </c:layout>
              <c:spPr>
                <a:noFill/>
                <a:ln w="15999">
                  <a:noFill/>
                </a:ln>
              </c:spPr>
              <c:txPr>
                <a:bodyPr/>
                <a:lstStyle/>
                <a:p>
                  <a:pPr>
                    <a:defRPr sz="693" b="0" i="0" u="none" strike="noStrike" baseline="0">
                      <a:solidFill>
                        <a:srgbClr val="FFFFFF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dLbl>
              <c:idx val="3"/>
              <c:layout>
                <c:manualLayout>
                  <c:x val="-3.0217629046369052E-3"/>
                  <c:y val="-1.9416386083052743E-2"/>
                </c:manualLayout>
              </c:layout>
              <c:dLblPos val="ctr"/>
              <c:showVal val="1"/>
            </c:dLbl>
            <c:dLbl>
              <c:idx val="4"/>
              <c:layout>
                <c:manualLayout>
                  <c:x val="1.2270341207353609E-4"/>
                  <c:y val="7.8563411896748322E-4"/>
                </c:manualLayout>
              </c:layout>
              <c:spPr>
                <a:noFill/>
                <a:ln w="15999">
                  <a:noFill/>
                </a:ln>
              </c:spPr>
              <c:txPr>
                <a:bodyPr/>
                <a:lstStyle/>
                <a:p>
                  <a:pPr>
                    <a:defRPr sz="693" b="0" i="0" u="none" strike="noStrike" baseline="0">
                      <a:solidFill>
                        <a:srgbClr val="FFFFFF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dLbl>
              <c:idx val="5"/>
              <c:layout>
                <c:manualLayout>
                  <c:x val="1.5693350831146042E-3"/>
                  <c:y val="-8.9786756453420205E-4"/>
                </c:manualLayout>
              </c:layout>
              <c:spPr>
                <a:noFill/>
                <a:ln w="15999">
                  <a:noFill/>
                </a:ln>
              </c:spPr>
              <c:txPr>
                <a:bodyPr/>
                <a:lstStyle/>
                <a:p>
                  <a:pPr>
                    <a:defRPr sz="693" b="0" i="0" u="none" strike="noStrike" baseline="0">
                      <a:solidFill>
                        <a:srgbClr val="FFFFFF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dLbl>
              <c:idx val="6"/>
              <c:layout>
                <c:manualLayout>
                  <c:x val="-1.0698928258967682E-2"/>
                  <c:y val="-1.7732884399551094E-2"/>
                </c:manualLayout>
              </c:layout>
              <c:dLblPos val="ctr"/>
              <c:showVal val="1"/>
            </c:dLbl>
            <c:dLbl>
              <c:idx val="7"/>
              <c:layout>
                <c:manualLayout>
                  <c:x val="-9.2869641294838134E-4"/>
                  <c:y val="-2.2783389450056205E-2"/>
                </c:manualLayout>
              </c:layout>
              <c:dLblPos val="ctr"/>
              <c:showVal val="1"/>
            </c:dLbl>
            <c:dLbl>
              <c:idx val="8"/>
              <c:layout>
                <c:manualLayout>
                  <c:x val="-9.6572615923009569E-3"/>
                  <c:y val="-1.7732884399551101E-2"/>
                </c:manualLayout>
              </c:layout>
              <c:dLblPos val="ctr"/>
              <c:showVal val="1"/>
            </c:dLbl>
            <c:dLbl>
              <c:idx val="9"/>
              <c:layout>
                <c:manualLayout>
                  <c:x val="-7.9691601049868936E-3"/>
                  <c:y val="-1.7732884399551101E-2"/>
                </c:manualLayout>
              </c:layout>
              <c:dLblPos val="ctr"/>
              <c:showVal val="1"/>
            </c:dLbl>
            <c:dLbl>
              <c:idx val="10"/>
              <c:layout>
                <c:manualLayout>
                  <c:x val="9.4236657917754504E-4"/>
                  <c:y val="2.4691358024691171E-3"/>
                </c:manualLayout>
              </c:layout>
              <c:spPr>
                <a:noFill/>
                <a:ln w="15999">
                  <a:noFill/>
                </a:ln>
              </c:spPr>
              <c:txPr>
                <a:bodyPr/>
                <a:lstStyle/>
                <a:p>
                  <a:pPr>
                    <a:defRPr sz="693" b="0" i="0" u="none" strike="noStrike" baseline="0">
                      <a:solidFill>
                        <a:srgbClr val="FFFFFF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dLbl>
              <c:idx val="11"/>
              <c:layout>
                <c:manualLayout>
                  <c:x val="2.3792650918635226E-3"/>
                  <c:y val="2.4691358024691076E-3"/>
                </c:manualLayout>
              </c:layout>
              <c:spPr>
                <a:noFill/>
                <a:ln w="15999">
                  <a:noFill/>
                </a:ln>
              </c:spPr>
              <c:txPr>
                <a:bodyPr/>
                <a:lstStyle/>
                <a:p>
                  <a:pPr>
                    <a:defRPr sz="693" b="0" i="0" u="none" strike="noStrike" baseline="0">
                      <a:solidFill>
                        <a:srgbClr val="FFFFFF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dLbl>
              <c:idx val="12"/>
              <c:layout>
                <c:manualLayout>
                  <c:x val="2.5818022747156198E-3"/>
                  <c:y val="7.8563411896747867E-4"/>
                </c:manualLayout>
              </c:layout>
              <c:spPr>
                <a:noFill/>
                <a:ln w="15999">
                  <a:noFill/>
                </a:ln>
              </c:spPr>
              <c:txPr>
                <a:bodyPr/>
                <a:lstStyle/>
                <a:p>
                  <a:pPr>
                    <a:defRPr sz="693" b="0" i="0" u="none" strike="noStrike" baseline="0">
                      <a:solidFill>
                        <a:srgbClr val="FFFFFF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dLbl>
              <c:idx val="13"/>
              <c:layout>
                <c:manualLayout>
                  <c:x val="-6.3297244094488152E-3"/>
                  <c:y val="-1.9416386083052753E-2"/>
                </c:manualLayout>
              </c:layout>
              <c:dLblPos val="ctr"/>
              <c:showVal val="1"/>
            </c:dLbl>
            <c:dLbl>
              <c:idx val="14"/>
              <c:layout>
                <c:manualLayout>
                  <c:x val="-5.7028652668416994E-3"/>
                  <c:y val="-1.941638608305276E-2"/>
                </c:manualLayout>
              </c:layout>
              <c:dLblPos val="ctr"/>
              <c:showVal val="1"/>
            </c:dLbl>
            <c:dLbl>
              <c:idx val="15"/>
              <c:layout>
                <c:manualLayout>
                  <c:x val="4.8862642169725939E-4"/>
                  <c:y val="2.4691358024691895E-3"/>
                </c:manualLayout>
              </c:layout>
              <c:spPr>
                <a:noFill/>
                <a:ln w="15999">
                  <a:noFill/>
                </a:ln>
              </c:spPr>
              <c:txPr>
                <a:bodyPr/>
                <a:lstStyle/>
                <a:p>
                  <a:pPr>
                    <a:defRPr sz="693" b="0" i="0" u="none" strike="noStrike" baseline="0">
                      <a:solidFill>
                        <a:srgbClr val="FFFFFF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dLbl>
              <c:idx val="16"/>
              <c:layout>
                <c:manualLayout>
                  <c:x val="-7.998359580052487E-3"/>
                  <c:y val="-1.773288439955106E-2"/>
                </c:manualLayout>
              </c:layout>
              <c:dLblPos val="ctr"/>
              <c:showVal val="1"/>
            </c:dLbl>
            <c:spPr>
              <a:noFill/>
              <a:ln w="15999">
                <a:noFill/>
              </a:ln>
            </c:spPr>
            <c:txPr>
              <a:bodyPr/>
              <a:lstStyle/>
              <a:p>
                <a:pPr>
                  <a:defRPr sz="693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問4満足度!$B$17:$B$33</c:f>
              <c:strCache>
                <c:ptCount val="17"/>
                <c:pt idx="0">
                  <c:v>母子保健等の充実</c:v>
                </c:pt>
                <c:pt idx="1">
                  <c:v>就学前教育・保育の充実</c:v>
                </c:pt>
                <c:pt idx="2">
                  <c:v>放課後児童対策の充実</c:v>
                </c:pt>
                <c:pt idx="3">
                  <c:v>地域ぐるみの子ども・子育て支援</c:v>
                </c:pt>
                <c:pt idx="4">
                  <c:v>いきいきとした高齢社会の実現</c:v>
                </c:pt>
                <c:pt idx="5">
                  <c:v>あんしんできる高齢期</c:v>
                </c:pt>
                <c:pt idx="6">
                  <c:v>障害のある人の生活支援</c:v>
                </c:pt>
                <c:pt idx="7">
                  <c:v>障害のある人の社会参加の促進</c:v>
                </c:pt>
                <c:pt idx="8">
                  <c:v>「地域力」のあるまちづくり</c:v>
                </c:pt>
                <c:pt idx="9">
                  <c:v>市民の健康づくり</c:v>
                </c:pt>
                <c:pt idx="10">
                  <c:v>医療保険制度等の適正運用</c:v>
                </c:pt>
                <c:pt idx="11">
                  <c:v>生活安定への支援</c:v>
                </c:pt>
                <c:pt idx="12">
                  <c:v>暮らしの安心の確保</c:v>
                </c:pt>
                <c:pt idx="13">
                  <c:v>火葬場・墓地の適正管理</c:v>
                </c:pt>
                <c:pt idx="14">
                  <c:v>災害に強いまちづくり</c:v>
                </c:pt>
                <c:pt idx="15">
                  <c:v>犯罪のないまちづくり</c:v>
                </c:pt>
                <c:pt idx="16">
                  <c:v>治水対策</c:v>
                </c:pt>
              </c:strCache>
            </c:strRef>
          </c:cat>
          <c:val>
            <c:numRef>
              <c:f>問4満足度!$G$17:$G$33</c:f>
              <c:numCache>
                <c:formatCode>0.0%</c:formatCode>
                <c:ptCount val="17"/>
                <c:pt idx="0">
                  <c:v>1.8722466960352423E-2</c:v>
                </c:pt>
                <c:pt idx="1">
                  <c:v>5.1762114537444934E-2</c:v>
                </c:pt>
                <c:pt idx="2">
                  <c:v>4.185022026431718E-2</c:v>
                </c:pt>
                <c:pt idx="3">
                  <c:v>3.9647577092511016E-2</c:v>
                </c:pt>
                <c:pt idx="4">
                  <c:v>4.185022026431718E-2</c:v>
                </c:pt>
                <c:pt idx="5">
                  <c:v>5.7268722466960353E-2</c:v>
                </c:pt>
                <c:pt idx="6">
                  <c:v>3.744493392070488E-2</c:v>
                </c:pt>
                <c:pt idx="7">
                  <c:v>4.0748898678414046E-2</c:v>
                </c:pt>
                <c:pt idx="8">
                  <c:v>2.7000000000000024E-2</c:v>
                </c:pt>
                <c:pt idx="9">
                  <c:v>2.7533039647577116E-2</c:v>
                </c:pt>
                <c:pt idx="10">
                  <c:v>4.5154185022026429E-2</c:v>
                </c:pt>
                <c:pt idx="11">
                  <c:v>5.7268722466960353E-2</c:v>
                </c:pt>
                <c:pt idx="12">
                  <c:v>5.1762114537444934E-2</c:v>
                </c:pt>
                <c:pt idx="13">
                  <c:v>3.4140969162995596E-2</c:v>
                </c:pt>
                <c:pt idx="14">
                  <c:v>3.5242290748898682E-2</c:v>
                </c:pt>
                <c:pt idx="15">
                  <c:v>6.8281938325991193E-2</c:v>
                </c:pt>
                <c:pt idx="16">
                  <c:v>2.4229074889867842E-2</c:v>
                </c:pt>
              </c:numCache>
            </c:numRef>
          </c:val>
        </c:ser>
        <c:ser>
          <c:idx val="5"/>
          <c:order val="5"/>
          <c:tx>
            <c:v>無回答</c:v>
          </c:tx>
          <c:spPr>
            <a:solidFill>
              <a:srgbClr val="FFFFFF"/>
            </a:solidFill>
            <a:ln w="80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8113517060366954E-3"/>
                  <c:y val="2.4691358024691618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5.650590551181044E-3"/>
                  <c:y val="-1.7732884399551088E-2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5.0236220472440994E-3"/>
                  <c:y val="-1.7732884399551067E-2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5.8627515310586105E-3"/>
                  <c:y val="-1.9416386083052743E-2"/>
                </c:manualLayout>
              </c:layout>
              <c:dLblPos val="ctr"/>
              <c:showVal val="1"/>
            </c:dLbl>
            <c:dLbl>
              <c:idx val="4"/>
              <c:layout>
                <c:manualLayout>
                  <c:x val="2.3327865266841038E-3"/>
                  <c:y val="-1.7732884399551081E-2"/>
                </c:manualLayout>
              </c:layout>
              <c:dLblPos val="ctr"/>
              <c:showVal val="1"/>
            </c:dLbl>
            <c:dLbl>
              <c:idx val="5"/>
              <c:layout>
                <c:manualLayout>
                  <c:x val="1.7156605424321894E-3"/>
                  <c:y val="-2.1099887766554457E-2"/>
                </c:manualLayout>
              </c:layout>
              <c:dLblPos val="ctr"/>
              <c:showVal val="1"/>
            </c:dLbl>
            <c:dLbl>
              <c:idx val="6"/>
              <c:layout>
                <c:manualLayout>
                  <c:x val="1.9180883639544498E-3"/>
                  <c:y val="-1.9416386083052753E-2"/>
                </c:manualLayout>
              </c:layout>
              <c:dLblPos val="ctr"/>
              <c:showVal val="1"/>
            </c:dLbl>
            <c:dLbl>
              <c:idx val="7"/>
              <c:layout>
                <c:manualLayout>
                  <c:x val="3.5769903762029216E-3"/>
                  <c:y val="-2.1099887766554474E-2"/>
                </c:manualLayout>
              </c:layout>
              <c:dLblPos val="ctr"/>
              <c:showVal val="1"/>
            </c:dLbl>
            <c:dLbl>
              <c:idx val="8"/>
              <c:layout>
                <c:manualLayout>
                  <c:x val="3.9916885389325793E-3"/>
                  <c:y val="-1.7732884399551101E-2"/>
                </c:manualLayout>
              </c:layout>
              <c:dLblPos val="ctr"/>
              <c:showVal val="1"/>
            </c:dLbl>
            <c:dLbl>
              <c:idx val="9"/>
              <c:layout>
                <c:manualLayout>
                  <c:x val="3.5867235345582254E-3"/>
                  <c:y val="-1.7732884399551101E-2"/>
                </c:manualLayout>
              </c:layout>
              <c:dLblPos val="ctr"/>
              <c:showVal val="1"/>
            </c:dLbl>
            <c:dLbl>
              <c:idx val="10"/>
              <c:layout>
                <c:manualLayout>
                  <c:x val="3.1622922134732592E-3"/>
                  <c:y val="-1.9416386083052729E-2"/>
                </c:manualLayout>
              </c:layout>
              <c:dLblPos val="ctr"/>
              <c:showVal val="1"/>
            </c:dLbl>
            <c:dLbl>
              <c:idx val="11"/>
              <c:layout>
                <c:manualLayout>
                  <c:x val="1.0789588801399326E-3"/>
                  <c:y val="-2.1099887766554505E-2"/>
                </c:manualLayout>
              </c:layout>
              <c:dLblPos val="ctr"/>
              <c:showVal val="1"/>
            </c:dLbl>
            <c:dLbl>
              <c:idx val="12"/>
              <c:layout>
                <c:manualLayout>
                  <c:x val="3.7794181977252855E-3"/>
                  <c:y val="-1.9416386083052743E-2"/>
                </c:manualLayout>
              </c:layout>
              <c:dLblPos val="ctr"/>
              <c:showVal val="1"/>
            </c:dLbl>
            <c:dLbl>
              <c:idx val="13"/>
              <c:layout>
                <c:manualLayout>
                  <c:x val="3.1622922134732592E-3"/>
                  <c:y val="-1.9416386083052753E-2"/>
                </c:manualLayout>
              </c:layout>
              <c:dLblPos val="ctr"/>
              <c:showVal val="1"/>
            </c:dLbl>
            <c:dLbl>
              <c:idx val="14"/>
              <c:layout>
                <c:manualLayout>
                  <c:x val="1.7058180227471581E-3"/>
                  <c:y val="-1.941638608305276E-2"/>
                </c:manualLayout>
              </c:layout>
              <c:dLblPos val="ctr"/>
              <c:showVal val="1"/>
            </c:dLbl>
            <c:dLbl>
              <c:idx val="15"/>
              <c:layout>
                <c:manualLayout>
                  <c:x val="1.7058180227471581E-3"/>
                  <c:y val="-1.9416386083052767E-2"/>
                </c:manualLayout>
              </c:layout>
              <c:dLblPos val="ctr"/>
              <c:showVal val="1"/>
            </c:dLbl>
            <c:dLbl>
              <c:idx val="16"/>
              <c:layout>
                <c:manualLayout>
                  <c:x val="3.1524496937882225E-3"/>
                  <c:y val="-1.773288439955106E-2"/>
                </c:manualLayout>
              </c:layout>
              <c:dLblPos val="ctr"/>
              <c:showVal val="1"/>
            </c:dLbl>
            <c:spPr>
              <a:noFill/>
              <a:ln w="15999">
                <a:noFill/>
              </a:ln>
            </c:spPr>
            <c:txPr>
              <a:bodyPr/>
              <a:lstStyle/>
              <a:p>
                <a:pPr>
                  <a:defRPr sz="693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問4満足度!$B$17:$B$33</c:f>
              <c:strCache>
                <c:ptCount val="17"/>
                <c:pt idx="0">
                  <c:v>母子保健等の充実</c:v>
                </c:pt>
                <c:pt idx="1">
                  <c:v>就学前教育・保育の充実</c:v>
                </c:pt>
                <c:pt idx="2">
                  <c:v>放課後児童対策の充実</c:v>
                </c:pt>
                <c:pt idx="3">
                  <c:v>地域ぐるみの子ども・子育て支援</c:v>
                </c:pt>
                <c:pt idx="4">
                  <c:v>いきいきとした高齢社会の実現</c:v>
                </c:pt>
                <c:pt idx="5">
                  <c:v>あんしんできる高齢期</c:v>
                </c:pt>
                <c:pt idx="6">
                  <c:v>障害のある人の生活支援</c:v>
                </c:pt>
                <c:pt idx="7">
                  <c:v>障害のある人の社会参加の促進</c:v>
                </c:pt>
                <c:pt idx="8">
                  <c:v>「地域力」のあるまちづくり</c:v>
                </c:pt>
                <c:pt idx="9">
                  <c:v>市民の健康づくり</c:v>
                </c:pt>
                <c:pt idx="10">
                  <c:v>医療保険制度等の適正運用</c:v>
                </c:pt>
                <c:pt idx="11">
                  <c:v>生活安定への支援</c:v>
                </c:pt>
                <c:pt idx="12">
                  <c:v>暮らしの安心の確保</c:v>
                </c:pt>
                <c:pt idx="13">
                  <c:v>火葬場・墓地の適正管理</c:v>
                </c:pt>
                <c:pt idx="14">
                  <c:v>災害に強いまちづくり</c:v>
                </c:pt>
                <c:pt idx="15">
                  <c:v>犯罪のないまちづくり</c:v>
                </c:pt>
                <c:pt idx="16">
                  <c:v>治水対策</c:v>
                </c:pt>
              </c:strCache>
            </c:strRef>
          </c:cat>
          <c:val>
            <c:numRef>
              <c:f>問4満足度!$H$17:$H$33</c:f>
              <c:numCache>
                <c:formatCode>0.0%</c:formatCode>
                <c:ptCount val="17"/>
                <c:pt idx="0">
                  <c:v>4.185022026431718E-2</c:v>
                </c:pt>
                <c:pt idx="1">
                  <c:v>3.7999999999999999E-2</c:v>
                </c:pt>
                <c:pt idx="2">
                  <c:v>3.9647577092511016E-2</c:v>
                </c:pt>
                <c:pt idx="3">
                  <c:v>3.6343612334801795E-2</c:v>
                </c:pt>
                <c:pt idx="4">
                  <c:v>2.9735682819383279E-2</c:v>
                </c:pt>
                <c:pt idx="5">
                  <c:v>2.5330396475770973E-2</c:v>
                </c:pt>
                <c:pt idx="6">
                  <c:v>2.863436123348018E-2</c:v>
                </c:pt>
                <c:pt idx="7">
                  <c:v>3.303964757709256E-2</c:v>
                </c:pt>
                <c:pt idx="8">
                  <c:v>3.4140969162995596E-2</c:v>
                </c:pt>
                <c:pt idx="9">
                  <c:v>2.7533039647577116E-2</c:v>
                </c:pt>
                <c:pt idx="10">
                  <c:v>3.1938325991189426E-2</c:v>
                </c:pt>
                <c:pt idx="11">
                  <c:v>3.1938325991189426E-2</c:v>
                </c:pt>
                <c:pt idx="12">
                  <c:v>3.6343612334801795E-2</c:v>
                </c:pt>
                <c:pt idx="13">
                  <c:v>3.1938325991189426E-2</c:v>
                </c:pt>
                <c:pt idx="14">
                  <c:v>3.0837004405286379E-2</c:v>
                </c:pt>
                <c:pt idx="15">
                  <c:v>3.0837004405286379E-2</c:v>
                </c:pt>
                <c:pt idx="16">
                  <c:v>3.744493392070488E-2</c:v>
                </c:pt>
              </c:numCache>
            </c:numRef>
          </c:val>
        </c:ser>
        <c:dLbls>
          <c:showVal val="1"/>
        </c:dLbls>
        <c:overlap val="100"/>
        <c:axId val="92563712"/>
        <c:axId val="92655616"/>
      </c:barChart>
      <c:catAx>
        <c:axId val="92563712"/>
        <c:scaling>
          <c:orientation val="maxMin"/>
        </c:scaling>
        <c:axPos val="l"/>
        <c:numFmt formatCode="General" sourceLinked="1"/>
        <c:majorTickMark val="in"/>
        <c:tickLblPos val="nextTo"/>
        <c:spPr>
          <a:ln w="20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3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92655616"/>
        <c:crosses val="autoZero"/>
        <c:auto val="1"/>
        <c:lblAlgn val="ctr"/>
        <c:lblOffset val="100"/>
        <c:tickLblSkip val="1"/>
        <c:tickMarkSkip val="1"/>
      </c:catAx>
      <c:valAx>
        <c:axId val="92655616"/>
        <c:scaling>
          <c:orientation val="minMax"/>
        </c:scaling>
        <c:axPos val="t"/>
        <c:majorGridlines>
          <c:spPr>
            <a:ln w="2000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in"/>
        <c:tickLblPos val="nextTo"/>
        <c:spPr>
          <a:ln w="20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93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92563712"/>
        <c:crosses val="autoZero"/>
        <c:crossBetween val="between"/>
        <c:majorUnit val="0.25"/>
      </c:valAx>
      <c:spPr>
        <a:solidFill>
          <a:srgbClr val="FFFFFF"/>
        </a:solidFill>
        <a:ln w="80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34375"/>
          <c:y val="0.96127946127946162"/>
          <c:w val="0.48437500000000033"/>
          <c:h val="3.5353535353535144E-2"/>
        </c:manualLayout>
      </c:layout>
      <c:spPr>
        <a:solidFill>
          <a:srgbClr val="FFFFFF"/>
        </a:solidFill>
        <a:ln w="15999">
          <a:noFill/>
        </a:ln>
      </c:spPr>
      <c:txPr>
        <a:bodyPr/>
        <a:lstStyle/>
        <a:p>
          <a:pPr>
            <a:defRPr sz="636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693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ja-JP"/>
  <c:chart>
    <c:title>
      <c:tx>
        <c:rich>
          <a:bodyPr/>
          <a:lstStyle/>
          <a:p>
            <a:pPr>
              <a:defRPr sz="425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 sz="684" b="1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満足度評価＿３</a:t>
            </a:r>
            <a:endParaRPr lang="ja-JP" altLang="en-US" sz="1100" b="0" i="0" strike="noStrike">
              <a:solidFill>
                <a:srgbClr val="000000"/>
              </a:solidFill>
              <a:latin typeface="ＭＳ Ｐゴシック"/>
              <a:ea typeface="ＭＳ Ｐゴシック"/>
            </a:endParaRPr>
          </a:p>
          <a:p>
            <a:pPr>
              <a:defRPr sz="425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 sz="684" b="0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「心地よさ」が感じられるまちをつくるための基本方針　</a:t>
            </a:r>
            <a:r>
              <a:rPr lang="en-US" altLang="ja-JP" sz="684" b="0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(N=908)</a:t>
            </a:r>
          </a:p>
        </c:rich>
      </c:tx>
      <c:layout>
        <c:manualLayout>
          <c:xMode val="edge"/>
          <c:yMode val="edge"/>
          <c:x val="0.29375000000000001"/>
          <c:y val="2.0202020202020211E-2"/>
        </c:manualLayout>
      </c:layout>
      <c:spPr>
        <a:noFill/>
        <a:ln w="15790">
          <a:noFill/>
        </a:ln>
      </c:spPr>
    </c:title>
    <c:plotArea>
      <c:layout>
        <c:manualLayout>
          <c:layoutTarget val="inner"/>
          <c:xMode val="edge"/>
          <c:yMode val="edge"/>
          <c:x val="0.21847525278245708"/>
          <c:y val="0.13973063973063973"/>
          <c:w val="0.7440245839916777"/>
          <c:h val="0.80303030303030298"/>
        </c:manualLayout>
      </c:layout>
      <c:barChart>
        <c:barDir val="bar"/>
        <c:grouping val="percentStacked"/>
        <c:ser>
          <c:idx val="0"/>
          <c:order val="0"/>
          <c:tx>
            <c:v>満足</c:v>
          </c:tx>
          <c:spPr>
            <a:solidFill>
              <a:srgbClr val="333333"/>
            </a:solidFill>
            <a:ln w="7895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9987970253718172E-3"/>
                  <c:y val="-2.6090299318645791E-2"/>
                </c:manualLayout>
              </c:layout>
              <c:spPr>
                <a:noFill/>
                <a:ln w="15790">
                  <a:noFill/>
                </a:ln>
              </c:spPr>
              <c:txPr>
                <a:bodyPr/>
                <a:lstStyle/>
                <a:p>
                  <a:pPr>
                    <a:defRPr sz="684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dLbl>
              <c:idx val="1"/>
              <c:layout>
                <c:manualLayout>
                  <c:x val="3.4157917760279885E-3"/>
                  <c:y val="-2.5970112321818381E-2"/>
                </c:manualLayout>
              </c:layout>
              <c:spPr>
                <a:noFill/>
                <a:ln w="15790">
                  <a:noFill/>
                </a:ln>
              </c:spPr>
              <c:txPr>
                <a:bodyPr/>
                <a:lstStyle/>
                <a:p>
                  <a:pPr>
                    <a:defRPr sz="684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dLbl>
              <c:idx val="2"/>
              <c:layout>
                <c:manualLayout>
                  <c:x val="2.872922134732982E-4"/>
                  <c:y val="-5.9722332688212773E-4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5.0837707786526619E-3"/>
                  <c:y val="-2.4046059899078237E-2"/>
                </c:manualLayout>
              </c:layout>
              <c:spPr>
                <a:noFill/>
                <a:ln w="15790">
                  <a:noFill/>
                </a:ln>
              </c:spPr>
              <c:txPr>
                <a:bodyPr/>
                <a:lstStyle/>
                <a:p>
                  <a:pPr>
                    <a:defRPr sz="684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dLbl>
              <c:idx val="4"/>
              <c:layout>
                <c:manualLayout>
                  <c:x val="8.2105205599300006E-3"/>
                  <c:y val="-2.5609197840168973E-2"/>
                </c:manualLayout>
              </c:layout>
              <c:spPr>
                <a:noFill/>
                <a:ln w="15790">
                  <a:noFill/>
                </a:ln>
              </c:spPr>
              <c:txPr>
                <a:bodyPr/>
                <a:lstStyle/>
                <a:p>
                  <a:pPr>
                    <a:defRPr sz="684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dLbl>
              <c:idx val="5"/>
              <c:layout>
                <c:manualLayout>
                  <c:x val="2.5818022747156472E-3"/>
                  <c:y val="-2.3805509159839876E-2"/>
                </c:manualLayout>
              </c:layout>
              <c:spPr>
                <a:noFill/>
                <a:ln w="15790">
                  <a:noFill/>
                </a:ln>
              </c:spPr>
              <c:txPr>
                <a:bodyPr/>
                <a:lstStyle/>
                <a:p>
                  <a:pPr>
                    <a:defRPr sz="684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dLbl>
              <c:idx val="6"/>
              <c:layout>
                <c:manualLayout>
                  <c:x val="4.8744531933508231E-3"/>
                  <c:y val="-2.5368823846514087E-2"/>
                </c:manualLayout>
              </c:layout>
              <c:spPr>
                <a:noFill/>
                <a:ln w="15790">
                  <a:noFill/>
                </a:ln>
              </c:spPr>
              <c:txPr>
                <a:bodyPr/>
                <a:lstStyle/>
                <a:p>
                  <a:pPr>
                    <a:defRPr sz="684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dLbl>
              <c:idx val="7"/>
              <c:layout>
                <c:manualLayout>
                  <c:x val="2.8904199475064636E-4"/>
                  <c:y val="4.0651484221223488E-6"/>
                </c:manualLayout>
              </c:layout>
              <c:dLblPos val="ctr"/>
              <c:showVal val="1"/>
            </c:dLbl>
            <c:dLbl>
              <c:idx val="8"/>
              <c:layout>
                <c:manualLayout>
                  <c:x val="5.7068022747156708E-3"/>
                  <c:y val="-2.1761269740272381E-2"/>
                </c:manualLayout>
              </c:layout>
              <c:spPr>
                <a:noFill/>
                <a:ln w="15790">
                  <a:noFill/>
                </a:ln>
              </c:spPr>
              <c:txPr>
                <a:bodyPr/>
                <a:lstStyle/>
                <a:p>
                  <a:pPr>
                    <a:defRPr sz="684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dLbl>
              <c:idx val="9"/>
              <c:layout>
                <c:manualLayout>
                  <c:x val="3.0203412073490869E-3"/>
                  <c:y val="-1.4390625414246985E-3"/>
                </c:manualLayout>
              </c:layout>
              <c:dLblPos val="ctr"/>
              <c:showVal val="1"/>
            </c:dLbl>
            <c:dLbl>
              <c:idx val="10"/>
              <c:layout>
                <c:manualLayout>
                  <c:x val="-4.0395888013998104E-3"/>
                  <c:y val="3.6480288448794741E-4"/>
                </c:manualLayout>
              </c:layout>
              <c:dLblPos val="ctr"/>
              <c:showVal val="1"/>
            </c:dLbl>
            <c:dLbl>
              <c:idx val="11"/>
              <c:layout>
                <c:manualLayout>
                  <c:x val="2.872922134732982E-4"/>
                  <c:y val="-1.1985118021863312E-3"/>
                </c:manualLayout>
              </c:layout>
              <c:dLblPos val="ctr"/>
              <c:showVal val="1"/>
            </c:dLbl>
            <c:dLbl>
              <c:idx val="12"/>
              <c:layout>
                <c:manualLayout>
                  <c:x val="7.0439632545930104E-4"/>
                  <c:y val="-1.0783248053588741E-3"/>
                </c:manualLayout>
              </c:layout>
              <c:dLblPos val="ctr"/>
              <c:showVal val="1"/>
            </c:dLbl>
            <c:dLbl>
              <c:idx val="13"/>
              <c:layout>
                <c:manualLayout>
                  <c:x val="5.708442694663164E-3"/>
                  <c:y val="-2.1159981264968181E-2"/>
                </c:manualLayout>
              </c:layout>
              <c:spPr>
                <a:noFill/>
                <a:ln w="15790">
                  <a:noFill/>
                </a:ln>
              </c:spPr>
              <c:txPr>
                <a:bodyPr/>
                <a:lstStyle/>
                <a:p>
                  <a:pPr>
                    <a:defRPr sz="684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dLbl>
              <c:idx val="14"/>
              <c:spPr>
                <a:noFill/>
                <a:ln w="15790">
                  <a:noFill/>
                </a:ln>
              </c:spPr>
              <c:txPr>
                <a:bodyPr/>
                <a:lstStyle/>
                <a:p>
                  <a:pPr>
                    <a:defRPr sz="684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dLbl>
              <c:idx val="15"/>
              <c:spPr>
                <a:noFill/>
                <a:ln w="15790">
                  <a:noFill/>
                </a:ln>
              </c:spPr>
              <c:txPr>
                <a:bodyPr/>
                <a:lstStyle/>
                <a:p>
                  <a:pPr>
                    <a:defRPr sz="684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dLbl>
              <c:idx val="16"/>
              <c:spPr>
                <a:noFill/>
                <a:ln w="15790">
                  <a:noFill/>
                </a:ln>
              </c:spPr>
              <c:txPr>
                <a:bodyPr/>
                <a:lstStyle/>
                <a:p>
                  <a:pPr>
                    <a:defRPr sz="684" b="0" i="0" u="none" strike="noStrike" baseline="0">
                      <a:solidFill>
                        <a:srgbClr val="000000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spPr>
              <a:noFill/>
              <a:ln w="15790">
                <a:noFill/>
              </a:ln>
            </c:spPr>
            <c:txPr>
              <a:bodyPr/>
              <a:lstStyle/>
              <a:p>
                <a:pPr>
                  <a:defRPr sz="684" b="0" i="0" u="none" strike="noStrike" baseline="0">
                    <a:solidFill>
                      <a:srgbClr val="FFFFFF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問4満足度!$B$36:$B$49</c:f>
              <c:strCache>
                <c:ptCount val="14"/>
                <c:pt idx="0">
                  <c:v>やすらぎ・憩いの環境づくり</c:v>
                </c:pt>
                <c:pt idx="1">
                  <c:v>良好な景観の保全と創出</c:v>
                </c:pt>
                <c:pt idx="2">
                  <c:v>自然とともに生活する環境づくり</c:v>
                </c:pt>
                <c:pt idx="3">
                  <c:v>環境学習の充実</c:v>
                </c:pt>
                <c:pt idx="4">
                  <c:v>地球温暖化対策への貢献</c:v>
                </c:pt>
                <c:pt idx="5">
                  <c:v>資源循環型社会の構築</c:v>
                </c:pt>
                <c:pt idx="6">
                  <c:v>環境汚染・公害への適切な対策</c:v>
                </c:pt>
                <c:pt idx="7">
                  <c:v>住まいと住生活の魅力向上</c:v>
                </c:pt>
                <c:pt idx="8">
                  <c:v>“まちなか”の魅力向上</c:v>
                </c:pt>
                <c:pt idx="9">
                  <c:v>水の安定供給</c:v>
                </c:pt>
                <c:pt idx="10">
                  <c:v>汚水の適正処理</c:v>
                </c:pt>
                <c:pt idx="11">
                  <c:v>安全で快適な道路づくり</c:v>
                </c:pt>
                <c:pt idx="12">
                  <c:v>公共交通体系の充実</c:v>
                </c:pt>
                <c:pt idx="13">
                  <c:v>バリアのないまちづくり</c:v>
                </c:pt>
              </c:strCache>
            </c:strRef>
          </c:cat>
          <c:val>
            <c:numRef>
              <c:f>問4満足度!$C$36:$C$49</c:f>
              <c:numCache>
                <c:formatCode>0.0%</c:formatCode>
                <c:ptCount val="14"/>
                <c:pt idx="0">
                  <c:v>3.7999999999999999E-2</c:v>
                </c:pt>
                <c:pt idx="1">
                  <c:v>3.6343612334801795E-2</c:v>
                </c:pt>
                <c:pt idx="2">
                  <c:v>4.7356828193832599E-2</c:v>
                </c:pt>
                <c:pt idx="3">
                  <c:v>3.1938325991189426E-2</c:v>
                </c:pt>
                <c:pt idx="4">
                  <c:v>2.6431718061674075E-2</c:v>
                </c:pt>
                <c:pt idx="5">
                  <c:v>3.7999999999999999E-2</c:v>
                </c:pt>
                <c:pt idx="6">
                  <c:v>3.5242290748898682E-2</c:v>
                </c:pt>
                <c:pt idx="7">
                  <c:v>4.185022026431718E-2</c:v>
                </c:pt>
                <c:pt idx="8">
                  <c:v>3.7999999999999999E-2</c:v>
                </c:pt>
                <c:pt idx="9">
                  <c:v>0.19</c:v>
                </c:pt>
                <c:pt idx="10">
                  <c:v>0.11563876651982372</c:v>
                </c:pt>
                <c:pt idx="11">
                  <c:v>4.7356828193832599E-2</c:v>
                </c:pt>
                <c:pt idx="12">
                  <c:v>4.6255506607929438E-2</c:v>
                </c:pt>
                <c:pt idx="13">
                  <c:v>3.303964757709256E-2</c:v>
                </c:pt>
              </c:numCache>
            </c:numRef>
          </c:val>
        </c:ser>
        <c:ser>
          <c:idx val="1"/>
          <c:order val="1"/>
          <c:tx>
            <c:v>やや満足</c:v>
          </c:tx>
          <c:spPr>
            <a:solidFill>
              <a:srgbClr val="C0C0C0"/>
            </a:solidFill>
            <a:ln w="7895">
              <a:solidFill>
                <a:srgbClr val="000000"/>
              </a:solidFill>
              <a:prstDash val="solid"/>
            </a:ln>
          </c:spPr>
          <c:dLbls>
            <c:spPr>
              <a:noFill/>
              <a:ln w="15790">
                <a:noFill/>
              </a:ln>
            </c:spPr>
            <c:txPr>
              <a:bodyPr/>
              <a:lstStyle/>
              <a:p>
                <a:pPr>
                  <a:defRPr sz="684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問4満足度!$B$36:$B$49</c:f>
              <c:strCache>
                <c:ptCount val="14"/>
                <c:pt idx="0">
                  <c:v>やすらぎ・憩いの環境づくり</c:v>
                </c:pt>
                <c:pt idx="1">
                  <c:v>良好な景観の保全と創出</c:v>
                </c:pt>
                <c:pt idx="2">
                  <c:v>自然とともに生活する環境づくり</c:v>
                </c:pt>
                <c:pt idx="3">
                  <c:v>環境学習の充実</c:v>
                </c:pt>
                <c:pt idx="4">
                  <c:v>地球温暖化対策への貢献</c:v>
                </c:pt>
                <c:pt idx="5">
                  <c:v>資源循環型社会の構築</c:v>
                </c:pt>
                <c:pt idx="6">
                  <c:v>環境汚染・公害への適切な対策</c:v>
                </c:pt>
                <c:pt idx="7">
                  <c:v>住まいと住生活の魅力向上</c:v>
                </c:pt>
                <c:pt idx="8">
                  <c:v>“まちなか”の魅力向上</c:v>
                </c:pt>
                <c:pt idx="9">
                  <c:v>水の安定供給</c:v>
                </c:pt>
                <c:pt idx="10">
                  <c:v>汚水の適正処理</c:v>
                </c:pt>
                <c:pt idx="11">
                  <c:v>安全で快適な道路づくり</c:v>
                </c:pt>
                <c:pt idx="12">
                  <c:v>公共交通体系の充実</c:v>
                </c:pt>
                <c:pt idx="13">
                  <c:v>バリアのないまちづくり</c:v>
                </c:pt>
              </c:strCache>
            </c:strRef>
          </c:cat>
          <c:val>
            <c:numRef>
              <c:f>問4満足度!$D$36:$D$49</c:f>
              <c:numCache>
                <c:formatCode>0.0%</c:formatCode>
                <c:ptCount val="14"/>
                <c:pt idx="0">
                  <c:v>0.25330396475770955</c:v>
                </c:pt>
                <c:pt idx="1">
                  <c:v>0.23017621145374437</c:v>
                </c:pt>
                <c:pt idx="2">
                  <c:v>0.23568281938325975</c:v>
                </c:pt>
                <c:pt idx="3">
                  <c:v>0.16189427312775331</c:v>
                </c:pt>
                <c:pt idx="4">
                  <c:v>0.14317180616740091</c:v>
                </c:pt>
                <c:pt idx="5">
                  <c:v>0.24889867841409691</c:v>
                </c:pt>
                <c:pt idx="6">
                  <c:v>0.19052863436123349</c:v>
                </c:pt>
                <c:pt idx="7">
                  <c:v>0.17900000000000013</c:v>
                </c:pt>
                <c:pt idx="8">
                  <c:v>0.17070484581497811</c:v>
                </c:pt>
                <c:pt idx="9">
                  <c:v>0.39757709251101331</c:v>
                </c:pt>
                <c:pt idx="10">
                  <c:v>0.32929515418502203</c:v>
                </c:pt>
                <c:pt idx="11">
                  <c:v>0.22577092511013216</c:v>
                </c:pt>
                <c:pt idx="12">
                  <c:v>0.19162995594713655</c:v>
                </c:pt>
                <c:pt idx="13">
                  <c:v>0.12555066079295155</c:v>
                </c:pt>
              </c:numCache>
            </c:numRef>
          </c:val>
        </c:ser>
        <c:ser>
          <c:idx val="2"/>
          <c:order val="2"/>
          <c:tx>
            <c:v>どちらとも言えない</c:v>
          </c:tx>
          <c:spPr>
            <a:solidFill>
              <a:srgbClr val="FFFFFF"/>
            </a:solidFill>
            <a:ln w="7895">
              <a:solidFill>
                <a:srgbClr val="000000"/>
              </a:solidFill>
              <a:prstDash val="solid"/>
            </a:ln>
          </c:spPr>
          <c:dLbls>
            <c:spPr>
              <a:noFill/>
              <a:ln w="15790">
                <a:noFill/>
              </a:ln>
            </c:spPr>
            <c:txPr>
              <a:bodyPr/>
              <a:lstStyle/>
              <a:p>
                <a:pPr>
                  <a:defRPr sz="684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問4満足度!$B$36:$B$49</c:f>
              <c:strCache>
                <c:ptCount val="14"/>
                <c:pt idx="0">
                  <c:v>やすらぎ・憩いの環境づくり</c:v>
                </c:pt>
                <c:pt idx="1">
                  <c:v>良好な景観の保全と創出</c:v>
                </c:pt>
                <c:pt idx="2">
                  <c:v>自然とともに生活する環境づくり</c:v>
                </c:pt>
                <c:pt idx="3">
                  <c:v>環境学習の充実</c:v>
                </c:pt>
                <c:pt idx="4">
                  <c:v>地球温暖化対策への貢献</c:v>
                </c:pt>
                <c:pt idx="5">
                  <c:v>資源循環型社会の構築</c:v>
                </c:pt>
                <c:pt idx="6">
                  <c:v>環境汚染・公害への適切な対策</c:v>
                </c:pt>
                <c:pt idx="7">
                  <c:v>住まいと住生活の魅力向上</c:v>
                </c:pt>
                <c:pt idx="8">
                  <c:v>“まちなか”の魅力向上</c:v>
                </c:pt>
                <c:pt idx="9">
                  <c:v>水の安定供給</c:v>
                </c:pt>
                <c:pt idx="10">
                  <c:v>汚水の適正処理</c:v>
                </c:pt>
                <c:pt idx="11">
                  <c:v>安全で快適な道路づくり</c:v>
                </c:pt>
                <c:pt idx="12">
                  <c:v>公共交通体系の充実</c:v>
                </c:pt>
                <c:pt idx="13">
                  <c:v>バリアのないまちづくり</c:v>
                </c:pt>
              </c:strCache>
            </c:strRef>
          </c:cat>
          <c:val>
            <c:numRef>
              <c:f>問4満足度!$E$36:$E$49</c:f>
              <c:numCache>
                <c:formatCode>0.0%</c:formatCode>
                <c:ptCount val="14"/>
                <c:pt idx="0">
                  <c:v>0.50220264317180618</c:v>
                </c:pt>
                <c:pt idx="1">
                  <c:v>0.51600000000000001</c:v>
                </c:pt>
                <c:pt idx="2">
                  <c:v>0.51982378854625499</c:v>
                </c:pt>
                <c:pt idx="3">
                  <c:v>0.66299559471365699</c:v>
                </c:pt>
                <c:pt idx="4">
                  <c:v>0.66189427312775406</c:v>
                </c:pt>
                <c:pt idx="5">
                  <c:v>0.52863436123348062</c:v>
                </c:pt>
                <c:pt idx="6">
                  <c:v>0.61894273127753363</c:v>
                </c:pt>
                <c:pt idx="7">
                  <c:v>0.59471365638766516</c:v>
                </c:pt>
                <c:pt idx="8">
                  <c:v>0.5616740088105735</c:v>
                </c:pt>
                <c:pt idx="9">
                  <c:v>0.34030837004405345</c:v>
                </c:pt>
                <c:pt idx="10">
                  <c:v>0.46200000000000002</c:v>
                </c:pt>
                <c:pt idx="11">
                  <c:v>0.39600000000000041</c:v>
                </c:pt>
                <c:pt idx="12">
                  <c:v>0.43502202643171806</c:v>
                </c:pt>
                <c:pt idx="13">
                  <c:v>0.60022026431718123</c:v>
                </c:pt>
              </c:numCache>
            </c:numRef>
          </c:val>
        </c:ser>
        <c:ser>
          <c:idx val="3"/>
          <c:order val="3"/>
          <c:tx>
            <c:v>やや不満</c:v>
          </c:tx>
          <c:spPr>
            <a:solidFill>
              <a:srgbClr val="C0C0C0"/>
            </a:solidFill>
            <a:ln w="7895">
              <a:solidFill>
                <a:srgbClr val="000000"/>
              </a:solidFill>
              <a:prstDash val="solid"/>
            </a:ln>
          </c:spPr>
          <c:dLbls>
            <c:dLbl>
              <c:idx val="9"/>
              <c:layout>
                <c:manualLayout>
                  <c:x val="-4.0370734908136375E-3"/>
                  <c:y val="2.4443914207692211E-4"/>
                </c:manualLayout>
              </c:layout>
              <c:tx>
                <c:rich>
                  <a:bodyPr/>
                  <a:lstStyle/>
                  <a:p>
                    <a:r>
                      <a:rPr lang="en-US" altLang="ja-JP"/>
                      <a:t>2.9%</a:t>
                    </a:r>
                  </a:p>
                </c:rich>
              </c:tx>
              <c:dLblPos val="ctr"/>
            </c:dLbl>
            <c:spPr>
              <a:noFill/>
              <a:ln w="15790">
                <a:noFill/>
              </a:ln>
            </c:spPr>
            <c:txPr>
              <a:bodyPr/>
              <a:lstStyle/>
              <a:p>
                <a:pPr>
                  <a:defRPr sz="684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問4満足度!$B$36:$B$49</c:f>
              <c:strCache>
                <c:ptCount val="14"/>
                <c:pt idx="0">
                  <c:v>やすらぎ・憩いの環境づくり</c:v>
                </c:pt>
                <c:pt idx="1">
                  <c:v>良好な景観の保全と創出</c:v>
                </c:pt>
                <c:pt idx="2">
                  <c:v>自然とともに生活する環境づくり</c:v>
                </c:pt>
                <c:pt idx="3">
                  <c:v>環境学習の充実</c:v>
                </c:pt>
                <c:pt idx="4">
                  <c:v>地球温暖化対策への貢献</c:v>
                </c:pt>
                <c:pt idx="5">
                  <c:v>資源循環型社会の構築</c:v>
                </c:pt>
                <c:pt idx="6">
                  <c:v>環境汚染・公害への適切な対策</c:v>
                </c:pt>
                <c:pt idx="7">
                  <c:v>住まいと住生活の魅力向上</c:v>
                </c:pt>
                <c:pt idx="8">
                  <c:v>“まちなか”の魅力向上</c:v>
                </c:pt>
                <c:pt idx="9">
                  <c:v>水の安定供給</c:v>
                </c:pt>
                <c:pt idx="10">
                  <c:v>汚水の適正処理</c:v>
                </c:pt>
                <c:pt idx="11">
                  <c:v>安全で快適な道路づくり</c:v>
                </c:pt>
                <c:pt idx="12">
                  <c:v>公共交通体系の充実</c:v>
                </c:pt>
                <c:pt idx="13">
                  <c:v>バリアのないまちづくり</c:v>
                </c:pt>
              </c:strCache>
            </c:strRef>
          </c:cat>
          <c:val>
            <c:numRef>
              <c:f>問4満足度!$F$36:$F$49</c:f>
              <c:numCache>
                <c:formatCode>0.0%</c:formatCode>
                <c:ptCount val="14"/>
                <c:pt idx="0">
                  <c:v>0.1288546255506608</c:v>
                </c:pt>
                <c:pt idx="1">
                  <c:v>0.1420704845814981</c:v>
                </c:pt>
                <c:pt idx="2">
                  <c:v>0.12334801762114538</c:v>
                </c:pt>
                <c:pt idx="3">
                  <c:v>7.9295154185022032E-2</c:v>
                </c:pt>
                <c:pt idx="4">
                  <c:v>0.10462555066079303</c:v>
                </c:pt>
                <c:pt idx="5">
                  <c:v>0.10903083700440525</c:v>
                </c:pt>
                <c:pt idx="6">
                  <c:v>9.2000000000000026E-2</c:v>
                </c:pt>
                <c:pt idx="7">
                  <c:v>0.11784140969162996</c:v>
                </c:pt>
                <c:pt idx="8">
                  <c:v>0.15198237885462576</c:v>
                </c:pt>
                <c:pt idx="9">
                  <c:v>2.863436123348018E-2</c:v>
                </c:pt>
                <c:pt idx="10">
                  <c:v>4.6255506607929438E-2</c:v>
                </c:pt>
                <c:pt idx="11">
                  <c:v>0.20594713656387692</c:v>
                </c:pt>
                <c:pt idx="12">
                  <c:v>0.19052863436123349</c:v>
                </c:pt>
                <c:pt idx="13">
                  <c:v>0.14427312775330398</c:v>
                </c:pt>
              </c:numCache>
            </c:numRef>
          </c:val>
        </c:ser>
        <c:ser>
          <c:idx val="4"/>
          <c:order val="4"/>
          <c:tx>
            <c:v>不満</c:v>
          </c:tx>
          <c:spPr>
            <a:solidFill>
              <a:srgbClr val="808080"/>
            </a:solidFill>
            <a:ln w="7895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3.372703412072985E-4"/>
                  <c:y val="-2.5212757496222023E-3"/>
                </c:manualLayout>
              </c:layout>
              <c:spPr>
                <a:noFill/>
                <a:ln w="15790">
                  <a:noFill/>
                </a:ln>
              </c:spPr>
              <c:txPr>
                <a:bodyPr/>
                <a:lstStyle/>
                <a:p>
                  <a:pPr>
                    <a:defRPr sz="684" b="0" i="0" u="none" strike="noStrike" baseline="0">
                      <a:solidFill>
                        <a:srgbClr val="FFFFFF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dLbl>
              <c:idx val="1"/>
              <c:layout>
                <c:manualLayout>
                  <c:x val="9.6183289588801485E-4"/>
                  <c:y val="-4.0845904362964746E-3"/>
                </c:manualLayout>
              </c:layout>
              <c:spPr>
                <a:noFill/>
                <a:ln w="15790">
                  <a:noFill/>
                </a:ln>
              </c:spPr>
              <c:txPr>
                <a:bodyPr/>
                <a:lstStyle/>
                <a:p>
                  <a:pPr>
                    <a:defRPr sz="684" b="0" i="0" u="none" strike="noStrike" baseline="0">
                      <a:solidFill>
                        <a:srgbClr val="FFFFFF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dLbl>
              <c:idx val="2"/>
              <c:layout>
                <c:manualLayout>
                  <c:x val="-3.6217191601049751E-3"/>
                  <c:y val="-2.4166246895905678E-2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1.1695100612422881E-3"/>
                  <c:y val="-2.2362558215576572E-2"/>
                </c:manualLayout>
              </c:layout>
              <c:dLblPos val="ctr"/>
              <c:showVal val="1"/>
            </c:dLbl>
            <c:dLbl>
              <c:idx val="4"/>
              <c:layout>
                <c:manualLayout>
                  <c:x val="3.355205599299504E-4"/>
                  <c:y val="-2.5609197840168973E-2"/>
                </c:manualLayout>
              </c:layout>
              <c:dLblPos val="ctr"/>
              <c:showVal val="1"/>
            </c:dLbl>
            <c:dLbl>
              <c:idx val="5"/>
              <c:layout>
                <c:manualLayout>
                  <c:x val="3.0469160104986885E-3"/>
                  <c:y val="-2.5489010843341552E-2"/>
                </c:manualLayout>
              </c:layout>
              <c:dLblPos val="ctr"/>
              <c:showVal val="1"/>
            </c:dLbl>
            <c:dLbl>
              <c:idx val="6"/>
              <c:layout>
                <c:manualLayout>
                  <c:x val="-4.8745625546806606E-3"/>
                  <c:y val="-2.5368823846514087E-2"/>
                </c:manualLayout>
              </c:layout>
              <c:dLblPos val="ctr"/>
              <c:showVal val="1"/>
            </c:dLbl>
            <c:dLbl>
              <c:idx val="7"/>
              <c:layout>
                <c:manualLayout>
                  <c:x val="-5.7068022747156508E-3"/>
                  <c:y val="-2.6931961787604843E-2"/>
                </c:manualLayout>
              </c:layout>
              <c:dLblPos val="ctr"/>
              <c:showVal val="1"/>
            </c:dLbl>
            <c:dLbl>
              <c:idx val="8"/>
              <c:layout>
                <c:manualLayout>
                  <c:x val="-7.9724409448869935E-5"/>
                  <c:y val="-2.5128273107275747E-2"/>
                </c:manualLayout>
              </c:layout>
              <c:dLblPos val="ctr"/>
              <c:showVal val="1"/>
            </c:dLbl>
            <c:dLbl>
              <c:idx val="9"/>
              <c:layout>
                <c:manualLayout>
                  <c:x val="-9.6744313210848226E-3"/>
                  <c:y val="-2.6691587793950002E-2"/>
                </c:manualLayout>
              </c:layout>
              <c:dLblPos val="ctr"/>
              <c:showVal val="1"/>
            </c:dLbl>
            <c:dLbl>
              <c:idx val="10"/>
              <c:layout>
                <c:manualLayout>
                  <c:x val="-9.672681539807609E-3"/>
                  <c:y val="-2.4887722368037359E-2"/>
                </c:manualLayout>
              </c:layout>
              <c:dLblPos val="ctr"/>
              <c:showVal val="1"/>
            </c:dLbl>
            <c:dLbl>
              <c:idx val="11"/>
              <c:layout>
                <c:manualLayout>
                  <c:x val="9.773622047243673E-4"/>
                  <c:y val="4.849898813154031E-4"/>
                </c:manualLayout>
              </c:layout>
              <c:spPr>
                <a:noFill/>
                <a:ln w="15790">
                  <a:noFill/>
                </a:ln>
              </c:spPr>
              <c:txPr>
                <a:bodyPr/>
                <a:lstStyle/>
                <a:p>
                  <a:pPr>
                    <a:defRPr sz="684" b="0" i="0" u="none" strike="noStrike" baseline="0">
                      <a:solidFill>
                        <a:srgbClr val="FFFFFF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dLbl>
              <c:idx val="12"/>
              <c:layout>
                <c:manualLayout>
                  <c:x val="1.2582020997376137E-3"/>
                  <c:y val="6.0517687814274788E-4"/>
                </c:manualLayout>
              </c:layout>
              <c:spPr>
                <a:noFill/>
                <a:ln w="15790">
                  <a:noFill/>
                </a:ln>
              </c:spPr>
              <c:txPr>
                <a:bodyPr/>
                <a:lstStyle/>
                <a:p>
                  <a:pPr>
                    <a:defRPr sz="684" b="0" i="0" u="none" strike="noStrike" baseline="0">
                      <a:solidFill>
                        <a:srgbClr val="FFFFFF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dLbl>
              <c:idx val="13"/>
              <c:layout>
                <c:manualLayout>
                  <c:x val="3.2597331583551739E-3"/>
                  <c:y val="7.2554062055377134E-4"/>
                </c:manualLayout>
              </c:layout>
              <c:spPr>
                <a:noFill/>
                <a:ln w="15790">
                  <a:noFill/>
                </a:ln>
              </c:spPr>
              <c:txPr>
                <a:bodyPr/>
                <a:lstStyle/>
                <a:p>
                  <a:pPr>
                    <a:defRPr sz="684" b="0" i="0" u="none" strike="noStrike" baseline="0">
                      <a:solidFill>
                        <a:srgbClr val="FFFFFF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dLbl>
              <c:idx val="14"/>
              <c:dLblPos val="ctr"/>
              <c:showVal val="1"/>
            </c:dLbl>
            <c:dLbl>
              <c:idx val="15"/>
              <c:dLblPos val="ctr"/>
              <c:showVal val="1"/>
            </c:dLbl>
            <c:dLbl>
              <c:idx val="16"/>
              <c:dLblPos val="ctr"/>
              <c:showVal val="1"/>
            </c:dLbl>
            <c:spPr>
              <a:noFill/>
              <a:ln w="15790">
                <a:noFill/>
              </a:ln>
            </c:spPr>
            <c:txPr>
              <a:bodyPr/>
              <a:lstStyle/>
              <a:p>
                <a:pPr>
                  <a:defRPr sz="684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問4満足度!$B$36:$B$49</c:f>
              <c:strCache>
                <c:ptCount val="14"/>
                <c:pt idx="0">
                  <c:v>やすらぎ・憩いの環境づくり</c:v>
                </c:pt>
                <c:pt idx="1">
                  <c:v>良好な景観の保全と創出</c:v>
                </c:pt>
                <c:pt idx="2">
                  <c:v>自然とともに生活する環境づくり</c:v>
                </c:pt>
                <c:pt idx="3">
                  <c:v>環境学習の充実</c:v>
                </c:pt>
                <c:pt idx="4">
                  <c:v>地球温暖化対策への貢献</c:v>
                </c:pt>
                <c:pt idx="5">
                  <c:v>資源循環型社会の構築</c:v>
                </c:pt>
                <c:pt idx="6">
                  <c:v>環境汚染・公害への適切な対策</c:v>
                </c:pt>
                <c:pt idx="7">
                  <c:v>住まいと住生活の魅力向上</c:v>
                </c:pt>
                <c:pt idx="8">
                  <c:v>“まちなか”の魅力向上</c:v>
                </c:pt>
                <c:pt idx="9">
                  <c:v>水の安定供給</c:v>
                </c:pt>
                <c:pt idx="10">
                  <c:v>汚水の適正処理</c:v>
                </c:pt>
                <c:pt idx="11">
                  <c:v>安全で快適な道路づくり</c:v>
                </c:pt>
                <c:pt idx="12">
                  <c:v>公共交通体系の充実</c:v>
                </c:pt>
                <c:pt idx="13">
                  <c:v>バリアのないまちづくり</c:v>
                </c:pt>
              </c:strCache>
            </c:strRef>
          </c:cat>
          <c:val>
            <c:numRef>
              <c:f>問4満足度!$G$36:$G$49</c:f>
              <c:numCache>
                <c:formatCode>0.0%</c:formatCode>
                <c:ptCount val="14"/>
                <c:pt idx="0">
                  <c:v>4.4052863436123413E-2</c:v>
                </c:pt>
                <c:pt idx="1">
                  <c:v>4.0748898678414046E-2</c:v>
                </c:pt>
                <c:pt idx="2">
                  <c:v>3.7999999999999999E-2</c:v>
                </c:pt>
                <c:pt idx="3">
                  <c:v>1.8722466960352423E-2</c:v>
                </c:pt>
                <c:pt idx="4">
                  <c:v>2.092511013215859E-2</c:v>
                </c:pt>
                <c:pt idx="5">
                  <c:v>3.303964757709256E-2</c:v>
                </c:pt>
                <c:pt idx="6">
                  <c:v>2.4229074889867842E-2</c:v>
                </c:pt>
                <c:pt idx="7">
                  <c:v>2.7000000000000024E-2</c:v>
                </c:pt>
                <c:pt idx="8">
                  <c:v>4.2951541850220328E-2</c:v>
                </c:pt>
                <c:pt idx="9">
                  <c:v>1.1013215859030839E-2</c:v>
                </c:pt>
                <c:pt idx="10">
                  <c:v>1.4317180616740099E-2</c:v>
                </c:pt>
                <c:pt idx="11">
                  <c:v>9.0308370044052982E-2</c:v>
                </c:pt>
                <c:pt idx="12">
                  <c:v>0.10242290748898691</c:v>
                </c:pt>
                <c:pt idx="13">
                  <c:v>6.2775330396475773E-2</c:v>
                </c:pt>
              </c:numCache>
            </c:numRef>
          </c:val>
        </c:ser>
        <c:ser>
          <c:idx val="5"/>
          <c:order val="5"/>
          <c:tx>
            <c:v>無回答</c:v>
          </c:tx>
          <c:spPr>
            <a:solidFill>
              <a:srgbClr val="FFFFFF"/>
            </a:solidFill>
            <a:ln w="7895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7.1877734033245818E-3"/>
                  <c:y val="-2.4406797635144091E-2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4.4797681539807078E-3"/>
                  <c:y val="-2.5970112321818381E-2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5.9385389326334186E-3"/>
                  <c:y val="-2.4166246895905678E-2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9.4127296587928947E-4"/>
                  <c:y val="-2.1605380135564069E-3"/>
                </c:manualLayout>
              </c:layout>
              <c:dLblPos val="ctr"/>
              <c:showVal val="1"/>
            </c:dLbl>
            <c:dLbl>
              <c:idx val="4"/>
              <c:layout>
                <c:manualLayout>
                  <c:x val="1.1488407699037292E-3"/>
                  <c:y val="-3.5667258764370268E-4"/>
                </c:manualLayout>
              </c:layout>
              <c:dLblPos val="ctr"/>
              <c:showVal val="1"/>
            </c:dLbl>
            <c:dLbl>
              <c:idx val="5"/>
              <c:layout>
                <c:manualLayout>
                  <c:x val="2.8151793525808852E-3"/>
                  <c:y val="-2.3648559081630247E-4"/>
                </c:manualLayout>
              </c:layout>
              <c:dLblPos val="ctr"/>
              <c:showVal val="1"/>
            </c:dLbl>
            <c:dLbl>
              <c:idx val="6"/>
              <c:layout>
                <c:manualLayout>
                  <c:x val="5.7308617672790375E-3"/>
                  <c:y val="-2.0318318796009149E-2"/>
                </c:manualLayout>
              </c:layout>
              <c:dLblPos val="ctr"/>
              <c:showVal val="1"/>
            </c:dLbl>
            <c:dLbl>
              <c:idx val="7"/>
              <c:layout>
                <c:manualLayout>
                  <c:x val="3.6475284339457059E-3"/>
                  <c:y val="-2.3564958420601443E-2"/>
                </c:manualLayout>
              </c:layout>
              <c:dLblPos val="ctr"/>
              <c:showVal val="1"/>
            </c:dLbl>
            <c:dLbl>
              <c:idx val="8"/>
              <c:layout>
                <c:manualLayout>
                  <c:x val="6.1461067366579631E-3"/>
                  <c:y val="-2.6811774790777478E-2"/>
                </c:manualLayout>
              </c:layout>
              <c:dLblPos val="ctr"/>
              <c:showVal val="1"/>
            </c:dLbl>
            <c:dLbl>
              <c:idx val="9"/>
              <c:layout>
                <c:manualLayout>
                  <c:x val="7.3954505686789481E-3"/>
                  <c:y val="-2.6691587793950002E-2"/>
                </c:manualLayout>
              </c:layout>
              <c:dLblPos val="ctr"/>
              <c:showVal val="1"/>
            </c:dLbl>
            <c:dLbl>
              <c:idx val="10"/>
              <c:layout>
                <c:manualLayout>
                  <c:x val="8.8541119860017278E-3"/>
                  <c:y val="-2.4887722368037359E-2"/>
                </c:manualLayout>
              </c:layout>
              <c:dLblPos val="ctr"/>
              <c:showVal val="1"/>
            </c:dLbl>
            <c:dLbl>
              <c:idx val="11"/>
              <c:layout>
                <c:manualLayout>
                  <c:x val="1.3547681539807625E-3"/>
                  <c:y val="-2.3084033687708182E-2"/>
                </c:manualLayout>
              </c:layout>
              <c:dLblPos val="ctr"/>
              <c:showVal val="1"/>
            </c:dLbl>
            <c:dLbl>
              <c:idx val="12"/>
              <c:layout>
                <c:manualLayout>
                  <c:x val="3.0211067366579243E-3"/>
                  <c:y val="-2.4647348374382452E-2"/>
                </c:manualLayout>
              </c:layout>
              <c:dLblPos val="ctr"/>
              <c:showVal val="1"/>
            </c:dLbl>
            <c:dLbl>
              <c:idx val="13"/>
              <c:layout>
                <c:manualLayout>
                  <c:x val="3.0211067366579243E-3"/>
                  <c:y val="-2.1159981264968181E-2"/>
                </c:manualLayout>
              </c:layout>
              <c:dLblPos val="ctr"/>
              <c:showVal val="1"/>
            </c:dLbl>
            <c:dLbl>
              <c:idx val="14"/>
              <c:dLblPos val="ctr"/>
              <c:showVal val="1"/>
            </c:dLbl>
            <c:dLbl>
              <c:idx val="15"/>
              <c:dLblPos val="ctr"/>
              <c:showVal val="1"/>
            </c:dLbl>
            <c:dLbl>
              <c:idx val="16"/>
              <c:dLblPos val="ctr"/>
              <c:showVal val="1"/>
            </c:dLbl>
            <c:spPr>
              <a:noFill/>
              <a:ln w="15790">
                <a:noFill/>
              </a:ln>
            </c:spPr>
            <c:txPr>
              <a:bodyPr/>
              <a:lstStyle/>
              <a:p>
                <a:pPr>
                  <a:defRPr sz="684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問4満足度!$B$36:$B$49</c:f>
              <c:strCache>
                <c:ptCount val="14"/>
                <c:pt idx="0">
                  <c:v>やすらぎ・憩いの環境づくり</c:v>
                </c:pt>
                <c:pt idx="1">
                  <c:v>良好な景観の保全と創出</c:v>
                </c:pt>
                <c:pt idx="2">
                  <c:v>自然とともに生活する環境づくり</c:v>
                </c:pt>
                <c:pt idx="3">
                  <c:v>環境学習の充実</c:v>
                </c:pt>
                <c:pt idx="4">
                  <c:v>地球温暖化対策への貢献</c:v>
                </c:pt>
                <c:pt idx="5">
                  <c:v>資源循環型社会の構築</c:v>
                </c:pt>
                <c:pt idx="6">
                  <c:v>環境汚染・公害への適切な対策</c:v>
                </c:pt>
                <c:pt idx="7">
                  <c:v>住まいと住生活の魅力向上</c:v>
                </c:pt>
                <c:pt idx="8">
                  <c:v>“まちなか”の魅力向上</c:v>
                </c:pt>
                <c:pt idx="9">
                  <c:v>水の安定供給</c:v>
                </c:pt>
                <c:pt idx="10">
                  <c:v>汚水の適正処理</c:v>
                </c:pt>
                <c:pt idx="11">
                  <c:v>安全で快適な道路づくり</c:v>
                </c:pt>
                <c:pt idx="12">
                  <c:v>公共交通体系の充実</c:v>
                </c:pt>
                <c:pt idx="13">
                  <c:v>バリアのないまちづくり</c:v>
                </c:pt>
              </c:strCache>
            </c:strRef>
          </c:cat>
          <c:val>
            <c:numRef>
              <c:f>問4満足度!$H$36:$H$49</c:f>
              <c:numCache>
                <c:formatCode>0.0%</c:formatCode>
                <c:ptCount val="14"/>
                <c:pt idx="0">
                  <c:v>3.4140969162995596E-2</c:v>
                </c:pt>
                <c:pt idx="1">
                  <c:v>3.5242290748898682E-2</c:v>
                </c:pt>
                <c:pt idx="2">
                  <c:v>3.6343612334801795E-2</c:v>
                </c:pt>
                <c:pt idx="3">
                  <c:v>4.5154185022026429E-2</c:v>
                </c:pt>
                <c:pt idx="4">
                  <c:v>4.2951541850220328E-2</c:v>
                </c:pt>
                <c:pt idx="5">
                  <c:v>4.185022026431718E-2</c:v>
                </c:pt>
                <c:pt idx="6">
                  <c:v>3.8546255506607931E-2</c:v>
                </c:pt>
                <c:pt idx="7">
                  <c:v>3.8546255506607931E-2</c:v>
                </c:pt>
                <c:pt idx="8">
                  <c:v>3.4140969162995596E-2</c:v>
                </c:pt>
                <c:pt idx="9">
                  <c:v>3.1938325991189426E-2</c:v>
                </c:pt>
                <c:pt idx="10">
                  <c:v>3.303964757709256E-2</c:v>
                </c:pt>
                <c:pt idx="11">
                  <c:v>3.5242290748898682E-2</c:v>
                </c:pt>
                <c:pt idx="12">
                  <c:v>3.4140969162995596E-2</c:v>
                </c:pt>
                <c:pt idx="13">
                  <c:v>3.4140969162995596E-2</c:v>
                </c:pt>
              </c:numCache>
            </c:numRef>
          </c:val>
        </c:ser>
        <c:dLbls>
          <c:showVal val="1"/>
        </c:dLbls>
        <c:overlap val="100"/>
        <c:axId val="115841280"/>
        <c:axId val="81187200"/>
      </c:barChart>
      <c:catAx>
        <c:axId val="115841280"/>
        <c:scaling>
          <c:orientation val="maxMin"/>
        </c:scaling>
        <c:axPos val="l"/>
        <c:numFmt formatCode="General" sourceLinked="1"/>
        <c:majorTickMark val="in"/>
        <c:tickLblPos val="nextTo"/>
        <c:spPr>
          <a:ln w="19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22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81187200"/>
        <c:crosses val="autoZero"/>
        <c:auto val="1"/>
        <c:lblAlgn val="ctr"/>
        <c:lblOffset val="100"/>
        <c:tickLblSkip val="1"/>
        <c:tickMarkSkip val="1"/>
      </c:catAx>
      <c:valAx>
        <c:axId val="81187200"/>
        <c:scaling>
          <c:orientation val="minMax"/>
        </c:scaling>
        <c:axPos val="t"/>
        <c:majorGridlines>
          <c:spPr>
            <a:ln w="1974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in"/>
        <c:tickLblPos val="nextTo"/>
        <c:spPr>
          <a:ln w="19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84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15841280"/>
        <c:crosses val="autoZero"/>
        <c:crossBetween val="between"/>
        <c:majorUnit val="0.25"/>
      </c:valAx>
      <c:spPr>
        <a:solidFill>
          <a:srgbClr val="FFFFFF"/>
        </a:solidFill>
        <a:ln w="7895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34270833333333334"/>
          <c:y val="0.96127946127946162"/>
          <c:w val="0.48437500000000039"/>
          <c:h val="3.5353535353535144E-2"/>
        </c:manualLayout>
      </c:layout>
      <c:spPr>
        <a:solidFill>
          <a:srgbClr val="FFFFFF"/>
        </a:solidFill>
        <a:ln w="15790">
          <a:noFill/>
        </a:ln>
      </c:spPr>
      <c:txPr>
        <a:bodyPr/>
        <a:lstStyle/>
        <a:p>
          <a:pPr>
            <a:defRPr sz="628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684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ja-JP"/>
  <c:chart>
    <c:title>
      <c:tx>
        <c:rich>
          <a:bodyPr/>
          <a:lstStyle/>
          <a:p>
            <a:pPr>
              <a:defRPr sz="428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 sz="686" b="1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満足度評価＿４</a:t>
            </a:r>
            <a:endParaRPr lang="ja-JP" altLang="en-US" sz="1100" b="0" i="0" strike="noStrike">
              <a:solidFill>
                <a:srgbClr val="000000"/>
              </a:solidFill>
              <a:latin typeface="ＭＳ Ｐゴシック"/>
              <a:ea typeface="ＭＳ Ｐゴシック"/>
            </a:endParaRPr>
          </a:p>
          <a:p>
            <a:pPr>
              <a:defRPr sz="428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 sz="686" b="0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「活気」があふれるまちをつくるための基本方針・行財政マネジメント</a:t>
            </a:r>
            <a:r>
              <a:rPr lang="en-US" altLang="ja-JP" sz="686" b="0" i="0" strike="noStrike">
                <a:solidFill>
                  <a:srgbClr val="000000"/>
                </a:solidFill>
                <a:latin typeface="ＭＳ Ｐゴシック"/>
                <a:ea typeface="ＭＳ Ｐゴシック"/>
              </a:rPr>
              <a:t>(N=908)</a:t>
            </a:r>
          </a:p>
        </c:rich>
      </c:tx>
      <c:layout>
        <c:manualLayout>
          <c:xMode val="edge"/>
          <c:yMode val="edge"/>
          <c:x val="0.25"/>
          <c:y val="2.0202020202020211E-2"/>
        </c:manualLayout>
      </c:layout>
      <c:spPr>
        <a:noFill/>
        <a:ln w="15842">
          <a:noFill/>
        </a:ln>
      </c:spPr>
    </c:title>
    <c:plotArea>
      <c:layout>
        <c:manualLayout>
          <c:layoutTarget val="inner"/>
          <c:xMode val="edge"/>
          <c:yMode val="edge"/>
          <c:x val="0.22732435305090995"/>
          <c:y val="0.13131313131313141"/>
          <c:w val="0.73076783583870208"/>
          <c:h val="0.82491582491582494"/>
        </c:manualLayout>
      </c:layout>
      <c:barChart>
        <c:barDir val="bar"/>
        <c:grouping val="percentStacked"/>
        <c:ser>
          <c:idx val="4"/>
          <c:order val="0"/>
          <c:tx>
            <c:v>満足</c:v>
          </c:tx>
          <c:spPr>
            <a:solidFill>
              <a:srgbClr val="333333"/>
            </a:solidFill>
            <a:ln w="7921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7.9041994750656177E-3"/>
                  <c:y val="-2.3905723905723902E-2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1.0527887139107621E-2"/>
                  <c:y val="-1.9416386083052743E-2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8.8988407699037674E-3"/>
                  <c:y val="-1.9977553310886652E-2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8.0843175853018336E-3"/>
                  <c:y val="-2.2222222222222247E-2"/>
                </c:manualLayout>
              </c:layout>
              <c:dLblPos val="ctr"/>
              <c:showVal val="1"/>
            </c:dLbl>
            <c:dLbl>
              <c:idx val="4"/>
              <c:layout>
                <c:manualLayout>
                  <c:x val="8.4445538057742828E-3"/>
                  <c:y val="-2.2783389450056115E-2"/>
                </c:manualLayout>
              </c:layout>
              <c:dLblPos val="ctr"/>
              <c:showVal val="1"/>
            </c:dLbl>
            <c:dLbl>
              <c:idx val="5"/>
              <c:layout>
                <c:manualLayout>
                  <c:x val="1.1295384951881017E-2"/>
                  <c:y val="-2.3344556677890007E-2"/>
                </c:manualLayout>
              </c:layout>
              <c:dLblPos val="ctr"/>
              <c:showVal val="1"/>
            </c:dLbl>
            <c:dLbl>
              <c:idx val="6"/>
              <c:layout>
                <c:manualLayout>
                  <c:x val="5.5466972878390093E-3"/>
                  <c:y val="-2.3905723905723954E-2"/>
                </c:manualLayout>
              </c:layout>
              <c:dLblPos val="ctr"/>
              <c:showVal val="1"/>
            </c:dLbl>
            <c:dLbl>
              <c:idx val="7"/>
              <c:layout>
                <c:manualLayout>
                  <c:x val="5.726815398075227E-3"/>
                  <c:y val="-2.2783389450056146E-2"/>
                </c:manualLayout>
              </c:layout>
              <c:dLblPos val="ctr"/>
              <c:showVal val="1"/>
            </c:dLbl>
            <c:dLbl>
              <c:idx val="8"/>
              <c:layout>
                <c:manualLayout>
                  <c:x val="6.9956255468066574E-3"/>
                  <c:y val="-2.5028058361391627E-2"/>
                </c:manualLayout>
              </c:layout>
              <c:dLblPos val="ctr"/>
              <c:showVal val="1"/>
            </c:dLbl>
            <c:dLbl>
              <c:idx val="9"/>
              <c:layout>
                <c:manualLayout>
                  <c:x val="6.4082458442694737E-3"/>
                  <c:y val="-2.5589225589225616E-2"/>
                </c:manualLayout>
              </c:layout>
              <c:dLblPos val="ctr"/>
              <c:showVal val="1"/>
            </c:dLbl>
            <c:dLbl>
              <c:idx val="10"/>
              <c:layout>
                <c:manualLayout>
                  <c:x val="8.8518153980752558E-3"/>
                  <c:y val="-2.446689113355776E-2"/>
                </c:manualLayout>
              </c:layout>
              <c:dLblPos val="ctr"/>
              <c:showVal val="1"/>
            </c:dLbl>
            <c:dLbl>
              <c:idx val="11"/>
              <c:layout>
                <c:manualLayout>
                  <c:x val="9.5802712160979724E-3"/>
                  <c:y val="-2.5028058361391659E-2"/>
                </c:manualLayout>
              </c:layout>
              <c:dLblPos val="ctr"/>
              <c:showVal val="1"/>
            </c:dLbl>
            <c:dLbl>
              <c:idx val="13"/>
              <c:layout>
                <c:manualLayout>
                  <c:x val="9.9405074365704268E-3"/>
                  <c:y val="-2.2783389450056056E-2"/>
                </c:manualLayout>
              </c:layout>
              <c:dLblPos val="ctr"/>
              <c:showVal val="1"/>
            </c:dLbl>
            <c:dLbl>
              <c:idx val="14"/>
              <c:layout>
                <c:manualLayout>
                  <c:x val="7.2227690288714022E-3"/>
                  <c:y val="-2.6711560044893352E-2"/>
                </c:manualLayout>
              </c:layout>
              <c:dLblPos val="ctr"/>
              <c:showVal val="1"/>
            </c:dLbl>
            <c:spPr>
              <a:noFill/>
              <a:ln w="15842">
                <a:noFill/>
              </a:ln>
            </c:spPr>
            <c:txPr>
              <a:bodyPr/>
              <a:lstStyle/>
              <a:p>
                <a:pPr>
                  <a:defRPr sz="686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問4満足度!$B$52:$B$66</c:f>
              <c:strCache>
                <c:ptCount val="15"/>
                <c:pt idx="0">
                  <c:v>農業の振興</c:v>
                </c:pt>
                <c:pt idx="1">
                  <c:v>水産業等の振興</c:v>
                </c:pt>
                <c:pt idx="2">
                  <c:v>工業の振興</c:v>
                </c:pt>
                <c:pt idx="3">
                  <c:v>商業の振興</c:v>
                </c:pt>
                <c:pt idx="4">
                  <c:v>観光の振興</c:v>
                </c:pt>
                <c:pt idx="5">
                  <c:v>勤労者福祉の増進</c:v>
                </c:pt>
                <c:pt idx="6">
                  <c:v>地域コミュニティ活動の活性化</c:v>
                </c:pt>
                <c:pt idx="7">
                  <c:v>市民活動の活性化</c:v>
                </c:pt>
                <c:pt idx="8">
                  <c:v>市民主体のまちづくりを</c:v>
                </c:pt>
                <c:pt idx="9">
                  <c:v>まちづくり情報の提供の充実</c:v>
                </c:pt>
                <c:pt idx="10">
                  <c:v>多様な交流活動の展開</c:v>
                </c:pt>
                <c:pt idx="11">
                  <c:v>大学などを生かした</c:v>
                </c:pt>
                <c:pt idx="13">
                  <c:v>市民から信頼される市政運営</c:v>
                </c:pt>
                <c:pt idx="14">
                  <c:v>行財政資源の有効活用</c:v>
                </c:pt>
              </c:strCache>
            </c:strRef>
          </c:cat>
          <c:val>
            <c:numRef>
              <c:f>問4満足度!$C$52:$C$66</c:f>
              <c:numCache>
                <c:formatCode>0.0%</c:formatCode>
                <c:ptCount val="15"/>
                <c:pt idx="0">
                  <c:v>3.6343612334801795E-2</c:v>
                </c:pt>
                <c:pt idx="1">
                  <c:v>2.6431718061674075E-2</c:v>
                </c:pt>
                <c:pt idx="2">
                  <c:v>3.0837004405286379E-2</c:v>
                </c:pt>
                <c:pt idx="3">
                  <c:v>3.303964757709256E-2</c:v>
                </c:pt>
                <c:pt idx="4">
                  <c:v>2.7000000000000024E-2</c:v>
                </c:pt>
                <c:pt idx="5">
                  <c:v>1.8722466960352423E-2</c:v>
                </c:pt>
                <c:pt idx="6">
                  <c:v>2.863436123348018E-2</c:v>
                </c:pt>
                <c:pt idx="7">
                  <c:v>2.5330396475770973E-2</c:v>
                </c:pt>
                <c:pt idx="8">
                  <c:v>2.7533039647577116E-2</c:v>
                </c:pt>
                <c:pt idx="9">
                  <c:v>3.1938325991189426E-2</c:v>
                </c:pt>
                <c:pt idx="10">
                  <c:v>2.5330396475770973E-2</c:v>
                </c:pt>
                <c:pt idx="11">
                  <c:v>3.7999999999999999E-2</c:v>
                </c:pt>
                <c:pt idx="13">
                  <c:v>3.0837004405286379E-2</c:v>
                </c:pt>
                <c:pt idx="14">
                  <c:v>2.9735682819383279E-2</c:v>
                </c:pt>
              </c:numCache>
            </c:numRef>
          </c:val>
        </c:ser>
        <c:ser>
          <c:idx val="3"/>
          <c:order val="1"/>
          <c:tx>
            <c:v>やや満足</c:v>
          </c:tx>
          <c:spPr>
            <a:solidFill>
              <a:srgbClr val="C0C0C0"/>
            </a:solidFill>
            <a:ln w="7921">
              <a:solidFill>
                <a:srgbClr val="000000"/>
              </a:solidFill>
              <a:prstDash val="solid"/>
            </a:ln>
          </c:spPr>
          <c:dLbls>
            <c:spPr>
              <a:noFill/>
              <a:ln w="15842">
                <a:noFill/>
              </a:ln>
            </c:spPr>
            <c:txPr>
              <a:bodyPr/>
              <a:lstStyle/>
              <a:p>
                <a:pPr>
                  <a:defRPr sz="686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問4満足度!$B$52:$B$66</c:f>
              <c:strCache>
                <c:ptCount val="15"/>
                <c:pt idx="0">
                  <c:v>農業の振興</c:v>
                </c:pt>
                <c:pt idx="1">
                  <c:v>水産業等の振興</c:v>
                </c:pt>
                <c:pt idx="2">
                  <c:v>工業の振興</c:v>
                </c:pt>
                <c:pt idx="3">
                  <c:v>商業の振興</c:v>
                </c:pt>
                <c:pt idx="4">
                  <c:v>観光の振興</c:v>
                </c:pt>
                <c:pt idx="5">
                  <c:v>勤労者福祉の増進</c:v>
                </c:pt>
                <c:pt idx="6">
                  <c:v>地域コミュニティ活動の活性化</c:v>
                </c:pt>
                <c:pt idx="7">
                  <c:v>市民活動の活性化</c:v>
                </c:pt>
                <c:pt idx="8">
                  <c:v>市民主体のまちづくりを</c:v>
                </c:pt>
                <c:pt idx="9">
                  <c:v>まちづくり情報の提供の充実</c:v>
                </c:pt>
                <c:pt idx="10">
                  <c:v>多様な交流活動の展開</c:v>
                </c:pt>
                <c:pt idx="11">
                  <c:v>大学などを生かした</c:v>
                </c:pt>
                <c:pt idx="13">
                  <c:v>市民から信頼される市政運営</c:v>
                </c:pt>
                <c:pt idx="14">
                  <c:v>行財政資源の有効活用</c:v>
                </c:pt>
              </c:strCache>
            </c:strRef>
          </c:cat>
          <c:val>
            <c:numRef>
              <c:f>問4満足度!$D$52:$D$66</c:f>
              <c:numCache>
                <c:formatCode>0.0%</c:formatCode>
                <c:ptCount val="15"/>
                <c:pt idx="0">
                  <c:v>0.16189427312775331</c:v>
                </c:pt>
                <c:pt idx="1">
                  <c:v>0.10572687224669622</c:v>
                </c:pt>
                <c:pt idx="2">
                  <c:v>0.15308370044052871</c:v>
                </c:pt>
                <c:pt idx="3">
                  <c:v>0.17180616740088106</c:v>
                </c:pt>
                <c:pt idx="4">
                  <c:v>0.15638766519823791</c:v>
                </c:pt>
                <c:pt idx="5">
                  <c:v>0.125</c:v>
                </c:pt>
                <c:pt idx="6">
                  <c:v>0.15969162995594713</c:v>
                </c:pt>
                <c:pt idx="7">
                  <c:v>0.15969162995594713</c:v>
                </c:pt>
                <c:pt idx="8">
                  <c:v>0.1420704845814981</c:v>
                </c:pt>
                <c:pt idx="9">
                  <c:v>0.16299559471365638</c:v>
                </c:pt>
                <c:pt idx="10">
                  <c:v>0.12555066079295155</c:v>
                </c:pt>
                <c:pt idx="11">
                  <c:v>0.23127753303964757</c:v>
                </c:pt>
                <c:pt idx="13">
                  <c:v>0.16189427312775331</c:v>
                </c:pt>
                <c:pt idx="14">
                  <c:v>0.11894273127753313</c:v>
                </c:pt>
              </c:numCache>
            </c:numRef>
          </c:val>
        </c:ser>
        <c:ser>
          <c:idx val="2"/>
          <c:order val="2"/>
          <c:tx>
            <c:v>どちらとも言えない</c:v>
          </c:tx>
          <c:spPr>
            <a:solidFill>
              <a:srgbClr val="FFFFFF"/>
            </a:solidFill>
            <a:ln w="7921">
              <a:solidFill>
                <a:srgbClr val="000000"/>
              </a:solidFill>
              <a:prstDash val="solid"/>
            </a:ln>
          </c:spPr>
          <c:dLbls>
            <c:spPr>
              <a:noFill/>
              <a:ln w="15842">
                <a:noFill/>
              </a:ln>
            </c:spPr>
            <c:txPr>
              <a:bodyPr/>
              <a:lstStyle/>
              <a:p>
                <a:pPr>
                  <a:defRPr sz="686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問4満足度!$B$52:$B$66</c:f>
              <c:strCache>
                <c:ptCount val="15"/>
                <c:pt idx="0">
                  <c:v>農業の振興</c:v>
                </c:pt>
                <c:pt idx="1">
                  <c:v>水産業等の振興</c:v>
                </c:pt>
                <c:pt idx="2">
                  <c:v>工業の振興</c:v>
                </c:pt>
                <c:pt idx="3">
                  <c:v>商業の振興</c:v>
                </c:pt>
                <c:pt idx="4">
                  <c:v>観光の振興</c:v>
                </c:pt>
                <c:pt idx="5">
                  <c:v>勤労者福祉の増進</c:v>
                </c:pt>
                <c:pt idx="6">
                  <c:v>地域コミュニティ活動の活性化</c:v>
                </c:pt>
                <c:pt idx="7">
                  <c:v>市民活動の活性化</c:v>
                </c:pt>
                <c:pt idx="8">
                  <c:v>市民主体のまちづくりを</c:v>
                </c:pt>
                <c:pt idx="9">
                  <c:v>まちづくり情報の提供の充実</c:v>
                </c:pt>
                <c:pt idx="10">
                  <c:v>多様な交流活動の展開</c:v>
                </c:pt>
                <c:pt idx="11">
                  <c:v>大学などを生かした</c:v>
                </c:pt>
                <c:pt idx="13">
                  <c:v>市民から信頼される市政運営</c:v>
                </c:pt>
                <c:pt idx="14">
                  <c:v>行財政資源の有効活用</c:v>
                </c:pt>
              </c:strCache>
            </c:strRef>
          </c:cat>
          <c:val>
            <c:numRef>
              <c:f>問4満足度!$E$52:$E$66</c:f>
              <c:numCache>
                <c:formatCode>0.0%</c:formatCode>
                <c:ptCount val="15"/>
                <c:pt idx="0">
                  <c:v>0.64537444933920762</c:v>
                </c:pt>
                <c:pt idx="1">
                  <c:v>0.736784140969163</c:v>
                </c:pt>
                <c:pt idx="2">
                  <c:v>0.68942731277533043</c:v>
                </c:pt>
                <c:pt idx="3">
                  <c:v>0.62224669603524263</c:v>
                </c:pt>
                <c:pt idx="4">
                  <c:v>0.58370044052863435</c:v>
                </c:pt>
                <c:pt idx="5">
                  <c:v>0.68502202643171861</c:v>
                </c:pt>
                <c:pt idx="6">
                  <c:v>0.65638766519823788</c:v>
                </c:pt>
                <c:pt idx="7">
                  <c:v>0.68612334801762043</c:v>
                </c:pt>
                <c:pt idx="8">
                  <c:v>0.67900000000000083</c:v>
                </c:pt>
                <c:pt idx="9">
                  <c:v>0.63656387665198289</c:v>
                </c:pt>
                <c:pt idx="10">
                  <c:v>0.7147577092511016</c:v>
                </c:pt>
                <c:pt idx="11">
                  <c:v>0.5770925110132159</c:v>
                </c:pt>
                <c:pt idx="13">
                  <c:v>0.57599118942731276</c:v>
                </c:pt>
                <c:pt idx="14">
                  <c:v>0.6090308370044063</c:v>
                </c:pt>
              </c:numCache>
            </c:numRef>
          </c:val>
        </c:ser>
        <c:ser>
          <c:idx val="1"/>
          <c:order val="3"/>
          <c:tx>
            <c:v>やや不満</c:v>
          </c:tx>
          <c:spPr>
            <a:solidFill>
              <a:srgbClr val="C0C0C0"/>
            </a:solidFill>
            <a:ln w="7921">
              <a:solidFill>
                <a:srgbClr val="000000"/>
              </a:solidFill>
              <a:prstDash val="solid"/>
            </a:ln>
          </c:spPr>
          <c:dLbls>
            <c:spPr>
              <a:noFill/>
              <a:ln w="15842">
                <a:noFill/>
              </a:ln>
            </c:spPr>
            <c:txPr>
              <a:bodyPr/>
              <a:lstStyle/>
              <a:p>
                <a:pPr>
                  <a:defRPr sz="686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問4満足度!$B$52:$B$66</c:f>
              <c:strCache>
                <c:ptCount val="15"/>
                <c:pt idx="0">
                  <c:v>農業の振興</c:v>
                </c:pt>
                <c:pt idx="1">
                  <c:v>水産業等の振興</c:v>
                </c:pt>
                <c:pt idx="2">
                  <c:v>工業の振興</c:v>
                </c:pt>
                <c:pt idx="3">
                  <c:v>商業の振興</c:v>
                </c:pt>
                <c:pt idx="4">
                  <c:v>観光の振興</c:v>
                </c:pt>
                <c:pt idx="5">
                  <c:v>勤労者福祉の増進</c:v>
                </c:pt>
                <c:pt idx="6">
                  <c:v>地域コミュニティ活動の活性化</c:v>
                </c:pt>
                <c:pt idx="7">
                  <c:v>市民活動の活性化</c:v>
                </c:pt>
                <c:pt idx="8">
                  <c:v>市民主体のまちづくりを</c:v>
                </c:pt>
                <c:pt idx="9">
                  <c:v>まちづくり情報の提供の充実</c:v>
                </c:pt>
                <c:pt idx="10">
                  <c:v>多様な交流活動の展開</c:v>
                </c:pt>
                <c:pt idx="11">
                  <c:v>大学などを生かした</c:v>
                </c:pt>
                <c:pt idx="13">
                  <c:v>市民から信頼される市政運営</c:v>
                </c:pt>
                <c:pt idx="14">
                  <c:v>行財政資源の有効活用</c:v>
                </c:pt>
              </c:strCache>
            </c:strRef>
          </c:cat>
          <c:val>
            <c:numRef>
              <c:f>問4満足度!$F$52:$F$66</c:f>
              <c:numCache>
                <c:formatCode>0.0%</c:formatCode>
                <c:ptCount val="15"/>
                <c:pt idx="0">
                  <c:v>8.7004405286343692E-2</c:v>
                </c:pt>
                <c:pt idx="1">
                  <c:v>6.6079295154185022E-2</c:v>
                </c:pt>
                <c:pt idx="2">
                  <c:v>6.0572687224669651E-2</c:v>
                </c:pt>
                <c:pt idx="3">
                  <c:v>0.10682819383259912</c:v>
                </c:pt>
                <c:pt idx="4">
                  <c:v>0.15198237885462576</c:v>
                </c:pt>
                <c:pt idx="5">
                  <c:v>0.10572687224669622</c:v>
                </c:pt>
                <c:pt idx="6">
                  <c:v>0.1002202643171807</c:v>
                </c:pt>
                <c:pt idx="7">
                  <c:v>7.5991189427312783E-2</c:v>
                </c:pt>
                <c:pt idx="8">
                  <c:v>8.8105726872246728E-2</c:v>
                </c:pt>
                <c:pt idx="9">
                  <c:v>0.10132158590308372</c:v>
                </c:pt>
                <c:pt idx="10">
                  <c:v>6.4977973568281944E-2</c:v>
                </c:pt>
                <c:pt idx="11">
                  <c:v>7.9295154185022032E-2</c:v>
                </c:pt>
                <c:pt idx="13">
                  <c:v>0.13215859030837002</c:v>
                </c:pt>
                <c:pt idx="14">
                  <c:v>0.13105726872246709</c:v>
                </c:pt>
              </c:numCache>
            </c:numRef>
          </c:val>
        </c:ser>
        <c:ser>
          <c:idx val="0"/>
          <c:order val="4"/>
          <c:tx>
            <c:v>不満</c:v>
          </c:tx>
          <c:spPr>
            <a:solidFill>
              <a:srgbClr val="969696"/>
            </a:solidFill>
            <a:ln w="7921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7.6759623797025729E-3"/>
                  <c:y val="-2.7272727272727296E-2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7.9031058617672501E-3"/>
                  <c:y val="-2.4466891133557777E-2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3.9165573053368784E-3"/>
                  <c:y val="-2.1661054994388272E-2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2.5146544181977116E-3"/>
                  <c:y val="-2.3905723905723899E-2"/>
                </c:manualLayout>
              </c:layout>
              <c:dLblPos val="ctr"/>
              <c:showVal val="1"/>
            </c:dLbl>
            <c:dLbl>
              <c:idx val="4"/>
              <c:layout>
                <c:manualLayout>
                  <c:x val="1.3789370078739662E-3"/>
                  <c:y val="2.4691358024691635E-3"/>
                </c:manualLayout>
              </c:layout>
              <c:tx>
                <c:rich>
                  <a:bodyPr/>
                  <a:lstStyle/>
                  <a:p>
                    <a:pPr>
                      <a:defRPr sz="686" b="0" i="0" u="none" strike="noStrike" baseline="0">
                        <a:solidFill>
                          <a:schemeClr val="bg1"/>
                        </a:solidFill>
                        <a:latin typeface="ＭＳ Ｐゴシック"/>
                        <a:ea typeface="ＭＳ Ｐゴシック"/>
                        <a:cs typeface="ＭＳ Ｐゴシック"/>
                      </a:defRPr>
                    </a:pPr>
                    <a:r>
                      <a:rPr lang="en-US" altLang="ja-JP">
                        <a:solidFill>
                          <a:schemeClr val="bg1"/>
                        </a:solidFill>
                      </a:rPr>
                      <a:t>4.5%</a:t>
                    </a:r>
                  </a:p>
                </c:rich>
              </c:tx>
              <c:spPr>
                <a:noFill/>
                <a:ln w="15842">
                  <a:noFill/>
                </a:ln>
              </c:spPr>
              <c:dLblPos val="ctr"/>
            </c:dLbl>
            <c:dLbl>
              <c:idx val="5"/>
              <c:layout>
                <c:manualLayout>
                  <c:x val="4.1907261592300784E-3"/>
                  <c:y val="-2.1661054994388328E-2"/>
                </c:manualLayout>
              </c:layout>
              <c:dLblPos val="ctr"/>
              <c:showVal val="1"/>
            </c:dLbl>
            <c:dLbl>
              <c:idx val="6"/>
              <c:layout>
                <c:manualLayout>
                  <c:x val="8.8587051618547168E-3"/>
                  <c:y val="-2.2222222222222202E-2"/>
                </c:manualLayout>
              </c:layout>
              <c:dLblPos val="ctr"/>
              <c:showVal val="1"/>
            </c:dLbl>
            <c:dLbl>
              <c:idx val="7"/>
              <c:layout>
                <c:manualLayout>
                  <c:x val="9.947397200349959E-3"/>
                  <c:y val="-2.2783389450056146E-2"/>
                </c:manualLayout>
              </c:layout>
              <c:dLblPos val="ctr"/>
              <c:showVal val="1"/>
            </c:dLbl>
            <c:dLbl>
              <c:idx val="8"/>
              <c:layout>
                <c:manualLayout>
                  <c:x val="8.1772747156605586E-3"/>
                  <c:y val="-2.1661054994388265E-2"/>
                </c:manualLayout>
              </c:layout>
              <c:dLblPos val="ctr"/>
              <c:showVal val="1"/>
            </c:dLbl>
            <c:dLbl>
              <c:idx val="9"/>
              <c:layout>
                <c:manualLayout>
                  <c:x val="7.3157261592301272E-3"/>
                  <c:y val="-2.390572390572385E-2"/>
                </c:manualLayout>
              </c:layout>
              <c:dLblPos val="ctr"/>
              <c:showVal val="1"/>
            </c:dLbl>
            <c:dLbl>
              <c:idx val="10"/>
              <c:layout>
                <c:manualLayout>
                  <c:x val="5.9058398950130753E-3"/>
                  <c:y val="-2.446689113355776E-2"/>
                </c:manualLayout>
              </c:layout>
              <c:dLblPos val="ctr"/>
              <c:showVal val="1"/>
            </c:dLbl>
            <c:dLbl>
              <c:idx val="11"/>
              <c:layout>
                <c:manualLayout>
                  <c:x val="3.0078740157479847E-3"/>
                  <c:y val="-2.3344556677889948E-2"/>
                </c:manualLayout>
              </c:layout>
              <c:dLblPos val="ctr"/>
              <c:showVal val="1"/>
            </c:dLbl>
            <c:dLbl>
              <c:idx val="12"/>
              <c:layout>
                <c:manualLayout>
                  <c:x val="0.22395833333333351"/>
                  <c:y val="-2.0538720538720547E-2"/>
                </c:manualLayout>
              </c:layout>
              <c:dLblPos val="ctr"/>
              <c:showVal val="1"/>
            </c:dLbl>
            <c:dLbl>
              <c:idx val="13"/>
              <c:layout>
                <c:manualLayout>
                  <c:x val="2.4126202974627956E-3"/>
                  <c:y val="2.4691358024691414E-3"/>
                </c:manualLayout>
              </c:layout>
              <c:spPr>
                <a:noFill/>
                <a:ln w="15842">
                  <a:noFill/>
                </a:ln>
              </c:spPr>
              <c:txPr>
                <a:bodyPr/>
                <a:lstStyle/>
                <a:p>
                  <a:pPr>
                    <a:defRPr sz="686" b="0" i="0" u="none" strike="noStrike" baseline="0">
                      <a:solidFill>
                        <a:srgbClr val="FFFFFF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  <c:dLblPos val="ctr"/>
              <c:showVal val="1"/>
            </c:dLbl>
            <c:dLbl>
              <c:idx val="14"/>
              <c:spPr>
                <a:noFill/>
                <a:ln w="15842">
                  <a:noFill/>
                </a:ln>
              </c:spPr>
              <c:txPr>
                <a:bodyPr/>
                <a:lstStyle/>
                <a:p>
                  <a:pPr>
                    <a:defRPr sz="686" b="0" i="0" u="none" strike="noStrike" baseline="0">
                      <a:solidFill>
                        <a:srgbClr val="FFFFFF"/>
                      </a:solidFill>
                      <a:latin typeface="ＭＳ Ｐゴシック"/>
                      <a:ea typeface="ＭＳ Ｐゴシック"/>
                      <a:cs typeface="ＭＳ Ｐゴシック"/>
                    </a:defRPr>
                  </a:pPr>
                  <a:endParaRPr lang="ja-JP"/>
                </a:p>
              </c:txPr>
            </c:dLbl>
            <c:spPr>
              <a:noFill/>
              <a:ln w="15842">
                <a:noFill/>
              </a:ln>
            </c:spPr>
            <c:txPr>
              <a:bodyPr/>
              <a:lstStyle/>
              <a:p>
                <a:pPr>
                  <a:defRPr sz="686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問4満足度!$B$52:$B$66</c:f>
              <c:strCache>
                <c:ptCount val="15"/>
                <c:pt idx="0">
                  <c:v>農業の振興</c:v>
                </c:pt>
                <c:pt idx="1">
                  <c:v>水産業等の振興</c:v>
                </c:pt>
                <c:pt idx="2">
                  <c:v>工業の振興</c:v>
                </c:pt>
                <c:pt idx="3">
                  <c:v>商業の振興</c:v>
                </c:pt>
                <c:pt idx="4">
                  <c:v>観光の振興</c:v>
                </c:pt>
                <c:pt idx="5">
                  <c:v>勤労者福祉の増進</c:v>
                </c:pt>
                <c:pt idx="6">
                  <c:v>地域コミュニティ活動の活性化</c:v>
                </c:pt>
                <c:pt idx="7">
                  <c:v>市民活動の活性化</c:v>
                </c:pt>
                <c:pt idx="8">
                  <c:v>市民主体のまちづくりを</c:v>
                </c:pt>
                <c:pt idx="9">
                  <c:v>まちづくり情報の提供の充実</c:v>
                </c:pt>
                <c:pt idx="10">
                  <c:v>多様な交流活動の展開</c:v>
                </c:pt>
                <c:pt idx="11">
                  <c:v>大学などを生かした</c:v>
                </c:pt>
                <c:pt idx="13">
                  <c:v>市民から信頼される市政運営</c:v>
                </c:pt>
                <c:pt idx="14">
                  <c:v>行財政資源の有効活用</c:v>
                </c:pt>
              </c:strCache>
            </c:strRef>
          </c:cat>
          <c:val>
            <c:numRef>
              <c:f>問4満足度!$G$52:$G$66</c:f>
              <c:numCache>
                <c:formatCode>0.0%</c:formatCode>
                <c:ptCount val="15"/>
                <c:pt idx="0">
                  <c:v>2.7000000000000024E-2</c:v>
                </c:pt>
                <c:pt idx="1">
                  <c:v>1.9823788546255543E-2</c:v>
                </c:pt>
                <c:pt idx="2">
                  <c:v>1.8722466960352423E-2</c:v>
                </c:pt>
                <c:pt idx="3">
                  <c:v>2.5330396475770973E-2</c:v>
                </c:pt>
                <c:pt idx="4">
                  <c:v>4.5154185022026401E-2</c:v>
                </c:pt>
                <c:pt idx="5">
                  <c:v>2.4229074889867842E-2</c:v>
                </c:pt>
                <c:pt idx="6">
                  <c:v>1.4317180616740099E-2</c:v>
                </c:pt>
                <c:pt idx="7">
                  <c:v>1.5418502202643175E-2</c:v>
                </c:pt>
                <c:pt idx="8">
                  <c:v>2.3127753303964757E-2</c:v>
                </c:pt>
                <c:pt idx="9">
                  <c:v>2.863436123348018E-2</c:v>
                </c:pt>
                <c:pt idx="10">
                  <c:v>1.4317180616740099E-2</c:v>
                </c:pt>
                <c:pt idx="11">
                  <c:v>2.7533039647577116E-2</c:v>
                </c:pt>
                <c:pt idx="13">
                  <c:v>5.5066079295154183E-2</c:v>
                </c:pt>
                <c:pt idx="14">
                  <c:v>6.4977973568281944E-2</c:v>
                </c:pt>
              </c:numCache>
            </c:numRef>
          </c:val>
        </c:ser>
        <c:ser>
          <c:idx val="5"/>
          <c:order val="5"/>
          <c:tx>
            <c:v>無回答</c:v>
          </c:tx>
          <c:spPr>
            <a:solidFill>
              <a:srgbClr val="FFFFFF"/>
            </a:solidFill>
            <a:ln w="7921">
              <a:solidFill>
                <a:srgbClr val="000000"/>
              </a:solidFill>
              <a:prstDash val="solid"/>
            </a:ln>
          </c:spPr>
          <c:dLbls>
            <c:dLbl>
              <c:idx val="4"/>
              <c:layout>
                <c:manualLayout>
                  <c:x val="-6.3331146106735119E-4"/>
                  <c:y val="-1.9416386083052743E-2"/>
                </c:manualLayout>
              </c:layout>
              <c:dLblPos val="ctr"/>
              <c:showVal val="1"/>
            </c:dLbl>
            <c:dLbl>
              <c:idx val="13"/>
              <c:layout>
                <c:manualLayout>
                  <c:x val="1.1758530183726681E-3"/>
                  <c:y val="2.4691358024691414E-3"/>
                </c:manualLayout>
              </c:layout>
              <c:dLblPos val="ctr"/>
              <c:showVal val="1"/>
            </c:dLbl>
            <c:spPr>
              <a:noFill/>
              <a:ln w="15842">
                <a:noFill/>
              </a:ln>
            </c:spPr>
            <c:txPr>
              <a:bodyPr/>
              <a:lstStyle/>
              <a:p>
                <a:pPr>
                  <a:defRPr sz="686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Val val="1"/>
          </c:dLbls>
          <c:cat>
            <c:strRef>
              <c:f>問4満足度!$B$52:$B$66</c:f>
              <c:strCache>
                <c:ptCount val="15"/>
                <c:pt idx="0">
                  <c:v>農業の振興</c:v>
                </c:pt>
                <c:pt idx="1">
                  <c:v>水産業等の振興</c:v>
                </c:pt>
                <c:pt idx="2">
                  <c:v>工業の振興</c:v>
                </c:pt>
                <c:pt idx="3">
                  <c:v>商業の振興</c:v>
                </c:pt>
                <c:pt idx="4">
                  <c:v>観光の振興</c:v>
                </c:pt>
                <c:pt idx="5">
                  <c:v>勤労者福祉の増進</c:v>
                </c:pt>
                <c:pt idx="6">
                  <c:v>地域コミュニティ活動の活性化</c:v>
                </c:pt>
                <c:pt idx="7">
                  <c:v>市民活動の活性化</c:v>
                </c:pt>
                <c:pt idx="8">
                  <c:v>市民主体のまちづくりを</c:v>
                </c:pt>
                <c:pt idx="9">
                  <c:v>まちづくり情報の提供の充実</c:v>
                </c:pt>
                <c:pt idx="10">
                  <c:v>多様な交流活動の展開</c:v>
                </c:pt>
                <c:pt idx="11">
                  <c:v>大学などを生かした</c:v>
                </c:pt>
                <c:pt idx="13">
                  <c:v>市民から信頼される市政運営</c:v>
                </c:pt>
                <c:pt idx="14">
                  <c:v>行財政資源の有効活用</c:v>
                </c:pt>
              </c:strCache>
            </c:strRef>
          </c:cat>
          <c:val>
            <c:numRef>
              <c:f>問4満足度!$H$52:$H$66</c:f>
              <c:numCache>
                <c:formatCode>0.0%</c:formatCode>
                <c:ptCount val="15"/>
                <c:pt idx="0">
                  <c:v>4.2951541850220328E-2</c:v>
                </c:pt>
                <c:pt idx="1">
                  <c:v>4.5154185022026429E-2</c:v>
                </c:pt>
                <c:pt idx="2">
                  <c:v>4.7356828193832599E-2</c:v>
                </c:pt>
                <c:pt idx="3">
                  <c:v>4.0748898678414046E-2</c:v>
                </c:pt>
                <c:pt idx="4">
                  <c:v>3.6343612334801795E-2</c:v>
                </c:pt>
                <c:pt idx="5">
                  <c:v>4.0748898678414046E-2</c:v>
                </c:pt>
                <c:pt idx="6">
                  <c:v>4.0748898678414046E-2</c:v>
                </c:pt>
                <c:pt idx="7">
                  <c:v>3.7999999999999999E-2</c:v>
                </c:pt>
                <c:pt idx="8">
                  <c:v>3.9647577092511016E-2</c:v>
                </c:pt>
                <c:pt idx="9">
                  <c:v>3.7999999999999999E-2</c:v>
                </c:pt>
                <c:pt idx="10">
                  <c:v>5.5066079295154183E-2</c:v>
                </c:pt>
                <c:pt idx="11">
                  <c:v>4.7356828193832599E-2</c:v>
                </c:pt>
                <c:pt idx="13">
                  <c:v>4.4052863436123413E-2</c:v>
                </c:pt>
                <c:pt idx="14">
                  <c:v>4.6255506607929438E-2</c:v>
                </c:pt>
              </c:numCache>
            </c:numRef>
          </c:val>
        </c:ser>
        <c:dLbls>
          <c:showVal val="1"/>
        </c:dLbls>
        <c:overlap val="100"/>
        <c:axId val="92745088"/>
        <c:axId val="92775552"/>
      </c:barChart>
      <c:catAx>
        <c:axId val="92745088"/>
        <c:scaling>
          <c:orientation val="maxMin"/>
        </c:scaling>
        <c:axPos val="l"/>
        <c:numFmt formatCode="General" sourceLinked="1"/>
        <c:majorTickMark val="in"/>
        <c:tickLblPos val="nextTo"/>
        <c:spPr>
          <a:ln w="19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86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92775552"/>
        <c:crosses val="autoZero"/>
        <c:auto val="1"/>
        <c:lblAlgn val="ctr"/>
        <c:lblOffset val="100"/>
        <c:tickLblSkip val="1"/>
        <c:tickMarkSkip val="1"/>
      </c:catAx>
      <c:valAx>
        <c:axId val="92775552"/>
        <c:scaling>
          <c:orientation val="minMax"/>
        </c:scaling>
        <c:axPos val="t"/>
        <c:majorGridlines>
          <c:spPr>
            <a:ln w="1980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in"/>
        <c:tickLblPos val="nextTo"/>
        <c:spPr>
          <a:ln w="19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86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92745088"/>
        <c:crosses val="autoZero"/>
        <c:crossBetween val="between"/>
        <c:majorUnit val="0.25"/>
      </c:valAx>
      <c:spPr>
        <a:solidFill>
          <a:srgbClr val="FFFFFF"/>
        </a:solidFill>
        <a:ln w="7921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36250000000000032"/>
          <c:y val="0.96127946127946162"/>
          <c:w val="0.48437500000000028"/>
          <c:h val="3.5353535353535144E-2"/>
        </c:manualLayout>
      </c:layout>
      <c:spPr>
        <a:solidFill>
          <a:srgbClr val="FFFFFF"/>
        </a:solidFill>
        <a:ln w="15842">
          <a:noFill/>
        </a:ln>
      </c:spPr>
      <c:txPr>
        <a:bodyPr/>
        <a:lstStyle/>
        <a:p>
          <a:pPr>
            <a:defRPr sz="630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686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0.04425</cdr:x>
      <cdr:y>0.756</cdr:y>
    </cdr:from>
    <cdr:to>
      <cdr:x>0.20675</cdr:x>
      <cdr:y>0.81125</cdr:y>
    </cdr:to>
    <cdr:sp macro="" textlink="">
      <cdr:nvSpPr>
        <cdr:cNvPr id="1025" name="Rectangle 1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04622" y="4277335"/>
          <a:ext cx="1485900" cy="312596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ja-JP" altLang="en-US"/>
        </a:p>
      </cdr:txBody>
    </cdr:sp>
  </cdr:relSizeAnchor>
  <cdr:relSizeAnchor xmlns:cdr="http://schemas.openxmlformats.org/drawingml/2006/chartDrawing">
    <cdr:from>
      <cdr:x>0.01116</cdr:x>
      <cdr:y>0.75443</cdr:y>
    </cdr:from>
    <cdr:to>
      <cdr:x>0.20616</cdr:x>
      <cdr:y>0.82177</cdr:y>
    </cdr:to>
    <cdr:sp macro="" textlink="">
      <cdr:nvSpPr>
        <cdr:cNvPr id="1026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4949" y="3327090"/>
          <a:ext cx="1134856" cy="29697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0" tIns="18288" rIns="27432" bIns="0" anchor="t" upright="1"/>
        <a:lstStyle xmlns:a="http://schemas.openxmlformats.org/drawingml/2006/main"/>
        <a:p xmlns:a="http://schemas.openxmlformats.org/drawingml/2006/main">
          <a:pPr algn="r" rtl="0">
            <a:defRPr sz="1000"/>
          </a:pPr>
          <a:r>
            <a:rPr lang="ja-JP" altLang="en-US" sz="600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</a:rPr>
            <a:t>火葬場・墓地の適正管理と</a:t>
          </a:r>
        </a:p>
        <a:p xmlns:a="http://schemas.openxmlformats.org/drawingml/2006/main">
          <a:pPr algn="r" rtl="0">
            <a:defRPr sz="1000"/>
          </a:pPr>
          <a:r>
            <a:rPr lang="ja-JP" altLang="en-US" sz="600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</a:rPr>
            <a:t>公衆衛生の向上</a:t>
          </a:r>
        </a:p>
      </cdr:txBody>
    </cdr:sp>
  </cdr:relSizeAnchor>
  <cdr:relSizeAnchor xmlns:cdr="http://schemas.openxmlformats.org/drawingml/2006/chartDrawing">
    <cdr:from>
      <cdr:x>0.06575</cdr:x>
      <cdr:y>0.38584</cdr:y>
    </cdr:from>
    <cdr:to>
      <cdr:x>0.21314</cdr:x>
      <cdr:y>0.426</cdr:y>
    </cdr:to>
    <cdr:sp macro="" textlink="">
      <cdr:nvSpPr>
        <cdr:cNvPr id="1027" name="Rectangle 3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82650" y="1701581"/>
          <a:ext cx="857754" cy="177112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ja-JP" altLang="en-US"/>
        </a:p>
      </cdr:txBody>
    </cdr:sp>
  </cdr:relSizeAnchor>
  <cdr:relSizeAnchor xmlns:cdr="http://schemas.openxmlformats.org/drawingml/2006/chartDrawing">
    <cdr:from>
      <cdr:x>0.04729</cdr:x>
      <cdr:y>0.37403</cdr:y>
    </cdr:from>
    <cdr:to>
      <cdr:x>0.2063</cdr:x>
      <cdr:y>0.43937</cdr:y>
    </cdr:to>
    <cdr:sp macro="" textlink="">
      <cdr:nvSpPr>
        <cdr:cNvPr id="1028" name="Text Box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5239" y="1649518"/>
          <a:ext cx="925408" cy="28815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0" tIns="18288" rIns="27432" bIns="0" anchor="t" upright="1"/>
        <a:lstStyle xmlns:a="http://schemas.openxmlformats.org/drawingml/2006/main"/>
        <a:p xmlns:a="http://schemas.openxmlformats.org/drawingml/2006/main">
          <a:pPr algn="r" rtl="0">
            <a:defRPr sz="1000"/>
          </a:pPr>
          <a:r>
            <a:rPr lang="ja-JP" altLang="en-US" sz="600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</a:rPr>
            <a:t>あんしんできる高齢期の</a:t>
          </a:r>
          <a:endParaRPr lang="en-US" altLang="ja-JP" sz="600" b="0" i="0" u="none" strike="noStrike" baseline="0">
            <a:solidFill>
              <a:srgbClr val="000000"/>
            </a:solidFill>
            <a:latin typeface="ＭＳ Ｐゴシック"/>
            <a:ea typeface="ＭＳ Ｐゴシック"/>
          </a:endParaRPr>
        </a:p>
        <a:p xmlns:a="http://schemas.openxmlformats.org/drawingml/2006/main">
          <a:pPr algn="r" rtl="0">
            <a:defRPr sz="1000"/>
          </a:pPr>
          <a:r>
            <a:rPr lang="ja-JP" altLang="en-US" sz="600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</a:rPr>
            <a:t>生活への支援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0.03225</cdr:x>
      <cdr:y>0.42725</cdr:y>
    </cdr:from>
    <cdr:to>
      <cdr:x>0.21061</cdr:x>
      <cdr:y>0.48825</cdr:y>
    </cdr:to>
    <cdr:sp macro="" textlink="">
      <cdr:nvSpPr>
        <cdr:cNvPr id="5121" name="Rectangle 1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85230" y="1778396"/>
          <a:ext cx="1024445" cy="253908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ja-JP" altLang="en-US"/>
        </a:p>
      </cdr:txBody>
    </cdr:sp>
  </cdr:relSizeAnchor>
  <cdr:relSizeAnchor xmlns:cdr="http://schemas.openxmlformats.org/drawingml/2006/chartDrawing">
    <cdr:from>
      <cdr:x>0.03452</cdr:x>
      <cdr:y>0.43063</cdr:y>
    </cdr:from>
    <cdr:to>
      <cdr:x>0.20232</cdr:x>
      <cdr:y>0.49969</cdr:y>
    </cdr:to>
    <cdr:sp macro="" textlink="">
      <cdr:nvSpPr>
        <cdr:cNvPr id="512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98296" y="1792472"/>
          <a:ext cx="963754" cy="2874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0" tIns="18288" rIns="27432" bIns="0" anchor="t" upright="1"/>
        <a:lstStyle xmlns:a="http://schemas.openxmlformats.org/drawingml/2006/main"/>
        <a:p xmlns:a="http://schemas.openxmlformats.org/drawingml/2006/main">
          <a:pPr algn="r" rtl="0">
            <a:defRPr sz="1000"/>
          </a:pPr>
          <a:r>
            <a:rPr lang="ja-JP" altLang="en-US" sz="600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</a:rPr>
            <a:t>資源循環型社会の構築と</a:t>
          </a:r>
        </a:p>
        <a:p xmlns:a="http://schemas.openxmlformats.org/drawingml/2006/main">
          <a:pPr algn="r" rtl="0">
            <a:defRPr sz="1000"/>
          </a:pPr>
          <a:r>
            <a:rPr lang="ja-JP" altLang="en-US" sz="600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</a:rPr>
            <a:t>廃棄物の適正処理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0.01775</cdr:x>
      <cdr:y>0.57525</cdr:y>
    </cdr:from>
    <cdr:to>
      <cdr:x>0.21575</cdr:x>
      <cdr:y>0.6405</cdr:y>
    </cdr:to>
    <cdr:sp macro="" textlink="">
      <cdr:nvSpPr>
        <cdr:cNvPr id="7169" name="Rectangle 1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62306" y="3249020"/>
          <a:ext cx="1810512" cy="3691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ja-JP" altLang="en-US"/>
        </a:p>
      </cdr:txBody>
    </cdr:sp>
  </cdr:relSizeAnchor>
  <cdr:relSizeAnchor xmlns:cdr="http://schemas.openxmlformats.org/drawingml/2006/chartDrawing">
    <cdr:from>
      <cdr:x>0.02724</cdr:x>
      <cdr:y>0.57637</cdr:y>
    </cdr:from>
    <cdr:to>
      <cdr:x>0.20724</cdr:x>
      <cdr:y>0.6501</cdr:y>
    </cdr:to>
    <cdr:sp macro="" textlink="">
      <cdr:nvSpPr>
        <cdr:cNvPr id="7170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6948" y="2344188"/>
          <a:ext cx="1037273" cy="29987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0" tIns="18288" rIns="27432" bIns="0" anchor="t" upright="1"/>
        <a:lstStyle xmlns:a="http://schemas.openxmlformats.org/drawingml/2006/main"/>
        <a:p xmlns:a="http://schemas.openxmlformats.org/drawingml/2006/main">
          <a:pPr algn="r" rtl="0">
            <a:defRPr sz="1000"/>
          </a:pPr>
          <a:r>
            <a:rPr lang="ja-JP" altLang="en-US" sz="600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</a:rPr>
            <a:t>市民主体のまちづくりを</a:t>
          </a:r>
        </a:p>
        <a:p xmlns:a="http://schemas.openxmlformats.org/drawingml/2006/main">
          <a:pPr algn="r" rtl="0">
            <a:defRPr sz="1000"/>
          </a:pPr>
          <a:r>
            <a:rPr lang="ja-JP" altLang="en-US" sz="600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</a:rPr>
            <a:t>支援する体制の充実</a:t>
          </a:r>
        </a:p>
      </cdr:txBody>
    </cdr:sp>
  </cdr:relSizeAnchor>
  <cdr:relSizeAnchor xmlns:cdr="http://schemas.openxmlformats.org/drawingml/2006/chartDrawing">
    <cdr:from>
      <cdr:x>0.05313</cdr:x>
      <cdr:y>0.73522</cdr:y>
    </cdr:from>
    <cdr:to>
      <cdr:x>0.21679</cdr:x>
      <cdr:y>0.80147</cdr:y>
    </cdr:to>
    <cdr:sp macro="" textlink="">
      <cdr:nvSpPr>
        <cdr:cNvPr id="7171" name="Rectangle 3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5775" y="4152714"/>
          <a:ext cx="1496568" cy="373418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ja-JP" altLang="en-US"/>
        </a:p>
      </cdr:txBody>
    </cdr:sp>
  </cdr:relSizeAnchor>
  <cdr:relSizeAnchor xmlns:cdr="http://schemas.openxmlformats.org/drawingml/2006/chartDrawing">
    <cdr:from>
      <cdr:x>0.01775</cdr:x>
      <cdr:y>0.73325</cdr:y>
    </cdr:from>
    <cdr:to>
      <cdr:x>0.21575</cdr:x>
      <cdr:y>0.79925</cdr:y>
    </cdr:to>
    <cdr:sp macro="" textlink="">
      <cdr:nvSpPr>
        <cdr:cNvPr id="7172" name="Rectangle 4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62306" y="4140132"/>
          <a:ext cx="1810512" cy="373418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ja-JP" altLang="en-US"/>
        </a:p>
      </cdr:txBody>
    </cdr:sp>
  </cdr:relSizeAnchor>
  <cdr:relSizeAnchor xmlns:cdr="http://schemas.openxmlformats.org/drawingml/2006/chartDrawing">
    <cdr:from>
      <cdr:x>0.02889</cdr:x>
      <cdr:y>0.74262</cdr:y>
    </cdr:from>
    <cdr:to>
      <cdr:x>0.20914</cdr:x>
      <cdr:y>0.8139</cdr:y>
    </cdr:to>
    <cdr:sp macro="" textlink="">
      <cdr:nvSpPr>
        <cdr:cNvPr id="7173" name="Text Box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66473" y="3020356"/>
          <a:ext cx="1038713" cy="28990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0" tIns="18288" rIns="27432" bIns="0" anchor="t" upright="1"/>
        <a:lstStyle xmlns:a="http://schemas.openxmlformats.org/drawingml/2006/main"/>
        <a:p xmlns:a="http://schemas.openxmlformats.org/drawingml/2006/main">
          <a:pPr algn="r" rtl="0">
            <a:defRPr sz="1000"/>
          </a:pPr>
          <a:r>
            <a:rPr lang="ja-JP" altLang="en-US" sz="600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</a:rPr>
            <a:t>大学などを生かした</a:t>
          </a:r>
        </a:p>
        <a:p xmlns:a="http://schemas.openxmlformats.org/drawingml/2006/main">
          <a:pPr algn="r" rtl="0">
            <a:defRPr sz="1000"/>
          </a:pPr>
          <a:r>
            <a:rPr lang="ja-JP" altLang="en-US" sz="600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</a:rPr>
            <a:t>まちづくりの展開</a:t>
          </a:r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（２）　基本方針別にみる満足度評価</vt:lpstr>
      <vt:lpstr>（２）　基本方針別にみる満足度評価</vt:lpstr>
    </vt:vector>
  </TitlesOfParts>
  <Company>comet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（２）　基本方針別にみる満足度評価</dc:title>
  <dc:subject/>
  <dc:creator>comet</dc:creator>
  <cp:keywords/>
  <cp:lastModifiedBy>あったか 太郎</cp:lastModifiedBy>
  <cp:revision>5</cp:revision>
  <cp:lastPrinted>2013-03-14T05:01:00Z</cp:lastPrinted>
  <dcterms:created xsi:type="dcterms:W3CDTF">2013-03-14T03:01:00Z</dcterms:created>
  <dcterms:modified xsi:type="dcterms:W3CDTF">2013-03-14T05:01:00Z</dcterms:modified>
</cp:coreProperties>
</file>