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C8" w:rsidRDefault="006E3DC8">
      <w:pPr>
        <w:shd w:val="clear" w:color="auto" w:fill="333333"/>
        <w:tabs>
          <w:tab w:val="right" w:pos="8520"/>
        </w:tabs>
        <w:snapToGrid w:val="0"/>
        <w:ind w:left="360" w:hanging="360"/>
        <w:rPr>
          <w:rFonts w:ascii="ＭＳ 明朝" w:hAnsi="ＭＳ 明朝" w:hint="eastAsia"/>
          <w:color w:val="FFFFFF"/>
          <w:sz w:val="28"/>
        </w:rPr>
      </w:pPr>
      <w:r>
        <w:rPr>
          <w:rFonts w:ascii="ＭＳ 明朝" w:hAnsi="ＭＳ 明朝" w:hint="eastAsia"/>
          <w:color w:val="FFFFFF"/>
          <w:sz w:val="28"/>
        </w:rPr>
        <w:t>2</w:t>
      </w:r>
      <w:r>
        <w:rPr>
          <w:rFonts w:ascii="ＭＳ 明朝" w:hAnsi="ＭＳ 明朝"/>
          <w:color w:val="FFFFFF"/>
          <w:sz w:val="28"/>
        </w:rPr>
        <w:t>.</w:t>
      </w:r>
      <w:r>
        <w:rPr>
          <w:rFonts w:ascii="ＭＳ 明朝" w:hAnsi="ＭＳ 明朝"/>
          <w:color w:val="FFFFFF"/>
          <w:sz w:val="28"/>
        </w:rPr>
        <w:tab/>
      </w:r>
      <w:r>
        <w:rPr>
          <w:rFonts w:ascii="ＭＳ 明朝" w:hAnsi="ＭＳ 明朝" w:hint="eastAsia"/>
          <w:color w:val="FFFFFF"/>
          <w:sz w:val="28"/>
        </w:rPr>
        <w:t>調査結果</w:t>
      </w:r>
      <w:r>
        <w:rPr>
          <w:rFonts w:ascii="ＭＳ 明朝" w:hAnsi="ＭＳ 明朝"/>
          <w:color w:val="FFFFFF"/>
          <w:sz w:val="28"/>
        </w:rPr>
        <w:tab/>
      </w: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t>（１）回答者属性</w:t>
      </w: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t>①　性別</w:t>
      </w:r>
    </w:p>
    <w:p w:rsidR="006E3DC8" w:rsidRDefault="006E3DC8">
      <w:r>
        <w:rPr>
          <w:rFonts w:hint="eastAsia"/>
        </w:rPr>
        <w:t>「男性」が</w:t>
      </w:r>
      <w:r w:rsidR="00B939BB">
        <w:rPr>
          <w:rFonts w:hint="eastAsia"/>
        </w:rPr>
        <w:t>47.2</w:t>
      </w:r>
      <w:r>
        <w:rPr>
          <w:rFonts w:hint="eastAsia"/>
        </w:rPr>
        <w:t>％、「女性」が</w:t>
      </w:r>
      <w:r w:rsidR="00B939BB">
        <w:rPr>
          <w:rFonts w:hint="eastAsia"/>
        </w:rPr>
        <w:t>51.7</w:t>
      </w:r>
      <w:r>
        <w:rPr>
          <w:rFonts w:hint="eastAsia"/>
        </w:rPr>
        <w:t>％となっている。</w:t>
      </w:r>
    </w:p>
    <w:p w:rsidR="006E3DC8" w:rsidRDefault="00377683">
      <w:pPr>
        <w:rPr>
          <w:rFonts w:hint="eastAsia"/>
          <w:b/>
          <w:bCs/>
        </w:rPr>
      </w:pPr>
      <w:r>
        <w:rPr>
          <w:b/>
          <w:noProof/>
        </w:rPr>
        <w:drawing>
          <wp:inline distT="0" distB="0" distL="0" distR="0">
            <wp:extent cx="5105400" cy="3171825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3DC8" w:rsidRDefault="006E3DC8">
      <w:pPr>
        <w:rPr>
          <w:b/>
          <w:bCs/>
        </w:rPr>
      </w:pP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t>②　年齢</w:t>
      </w:r>
    </w:p>
    <w:p w:rsidR="006E3DC8" w:rsidRDefault="006E3DC8">
      <w:r>
        <w:rPr>
          <w:rFonts w:hint="eastAsia"/>
        </w:rPr>
        <w:t>「</w:t>
      </w:r>
      <w:r>
        <w:t>60-69</w:t>
      </w:r>
      <w:r>
        <w:rPr>
          <w:rFonts w:hint="eastAsia"/>
        </w:rPr>
        <w:t>歳」が最も多く</w:t>
      </w:r>
      <w:r w:rsidR="00B15162">
        <w:t>2</w:t>
      </w:r>
      <w:r w:rsidR="00B15162">
        <w:rPr>
          <w:rFonts w:hint="eastAsia"/>
        </w:rPr>
        <w:t>3</w:t>
      </w:r>
      <w:r>
        <w:t>.</w:t>
      </w:r>
      <w:r w:rsidR="00B939BB">
        <w:rPr>
          <w:rFonts w:hint="eastAsia"/>
        </w:rPr>
        <w:t>3</w:t>
      </w:r>
      <w:r>
        <w:rPr>
          <w:rFonts w:hint="eastAsia"/>
        </w:rPr>
        <w:t>％、次いで「</w:t>
      </w:r>
      <w:r w:rsidR="00B939BB">
        <w:rPr>
          <w:rFonts w:hint="eastAsia"/>
        </w:rPr>
        <w:t>4</w:t>
      </w:r>
      <w:r>
        <w:t>0-</w:t>
      </w:r>
      <w:r w:rsidR="00B939BB">
        <w:rPr>
          <w:rFonts w:hint="eastAsia"/>
        </w:rPr>
        <w:t>4</w:t>
      </w:r>
      <w:r>
        <w:t>9</w:t>
      </w:r>
      <w:r>
        <w:rPr>
          <w:rFonts w:hint="eastAsia"/>
        </w:rPr>
        <w:t>歳」が</w:t>
      </w:r>
      <w:r>
        <w:t>1</w:t>
      </w:r>
      <w:r w:rsidR="00B939BB">
        <w:rPr>
          <w:rFonts w:hint="eastAsia"/>
        </w:rPr>
        <w:t>7.1</w:t>
      </w:r>
      <w:r>
        <w:rPr>
          <w:rFonts w:hint="eastAsia"/>
        </w:rPr>
        <w:t>％、「</w:t>
      </w:r>
      <w:r w:rsidR="00B939BB">
        <w:rPr>
          <w:rFonts w:hint="eastAsia"/>
        </w:rPr>
        <w:t>7</w:t>
      </w:r>
      <w:r>
        <w:t>0-</w:t>
      </w:r>
      <w:r w:rsidR="00B939BB">
        <w:rPr>
          <w:rFonts w:hint="eastAsia"/>
        </w:rPr>
        <w:t>7</w:t>
      </w:r>
      <w:r>
        <w:t>9</w:t>
      </w:r>
      <w:r>
        <w:rPr>
          <w:rFonts w:hint="eastAsia"/>
        </w:rPr>
        <w:t>歳」が</w:t>
      </w:r>
      <w:r>
        <w:t>1</w:t>
      </w:r>
      <w:r w:rsidR="00B939BB">
        <w:rPr>
          <w:rFonts w:hint="eastAsia"/>
        </w:rPr>
        <w:t>4.6</w:t>
      </w:r>
      <w:r>
        <w:rPr>
          <w:rFonts w:hint="eastAsia"/>
        </w:rPr>
        <w:t>％となっている。</w:t>
      </w:r>
    </w:p>
    <w:p w:rsidR="00B939BB" w:rsidRDefault="0037768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19700" cy="3171825"/>
            <wp:effectExtent l="0" t="0" r="0" b="0"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lastRenderedPageBreak/>
        <w:t>③　居住年数</w:t>
      </w:r>
    </w:p>
    <w:p w:rsidR="006E3DC8" w:rsidRDefault="006E3DC8">
      <w:pPr>
        <w:rPr>
          <w:rFonts w:hint="eastAsia"/>
        </w:rPr>
      </w:pPr>
      <w:r>
        <w:rPr>
          <w:rFonts w:hint="eastAsia"/>
        </w:rPr>
        <w:t>「</w:t>
      </w:r>
      <w:r w:rsidR="00B939BB">
        <w:rPr>
          <w:rFonts w:hint="eastAsia"/>
        </w:rPr>
        <w:t>4</w:t>
      </w:r>
      <w:r w:rsidR="00474D73">
        <w:rPr>
          <w:rFonts w:hint="eastAsia"/>
        </w:rPr>
        <w:t>0</w:t>
      </w:r>
      <w:r>
        <w:t>-</w:t>
      </w:r>
      <w:r w:rsidR="00B939BB">
        <w:rPr>
          <w:rFonts w:hint="eastAsia"/>
        </w:rPr>
        <w:t>4</w:t>
      </w:r>
      <w:r>
        <w:t>4</w:t>
      </w:r>
      <w:r>
        <w:rPr>
          <w:rFonts w:hint="eastAsia"/>
        </w:rPr>
        <w:t>年」が最も多く</w:t>
      </w:r>
      <w:r>
        <w:t>1</w:t>
      </w:r>
      <w:r w:rsidR="00B939BB">
        <w:rPr>
          <w:rFonts w:hint="eastAsia"/>
        </w:rPr>
        <w:t>0</w:t>
      </w:r>
      <w:r>
        <w:t>.</w:t>
      </w:r>
      <w:r w:rsidR="00115B8A">
        <w:rPr>
          <w:rFonts w:hint="eastAsia"/>
        </w:rPr>
        <w:t>8</w:t>
      </w:r>
      <w:r>
        <w:rPr>
          <w:rFonts w:hint="eastAsia"/>
        </w:rPr>
        <w:t>％、次いで「</w:t>
      </w:r>
      <w:r w:rsidR="00B939BB">
        <w:rPr>
          <w:rFonts w:hint="eastAsia"/>
        </w:rPr>
        <w:t>30</w:t>
      </w:r>
      <w:r>
        <w:t>-</w:t>
      </w:r>
      <w:r w:rsidR="00B939BB">
        <w:rPr>
          <w:rFonts w:hint="eastAsia"/>
        </w:rPr>
        <w:t>3</w:t>
      </w:r>
      <w:r>
        <w:t>4</w:t>
      </w:r>
      <w:r>
        <w:rPr>
          <w:rFonts w:hint="eastAsia"/>
        </w:rPr>
        <w:t>年」が</w:t>
      </w:r>
      <w:r w:rsidR="00B939BB">
        <w:rPr>
          <w:rFonts w:hint="eastAsia"/>
        </w:rPr>
        <w:t>10.5</w:t>
      </w:r>
      <w:r>
        <w:rPr>
          <w:rFonts w:hint="eastAsia"/>
        </w:rPr>
        <w:t>％、「</w:t>
      </w:r>
      <w:r w:rsidR="00B939BB">
        <w:rPr>
          <w:rFonts w:hint="eastAsia"/>
        </w:rPr>
        <w:t>1</w:t>
      </w:r>
      <w:r>
        <w:t>-</w:t>
      </w:r>
      <w:r w:rsidR="00B939BB">
        <w:rPr>
          <w:rFonts w:hint="eastAsia"/>
        </w:rPr>
        <w:t>4</w:t>
      </w:r>
      <w:r>
        <w:rPr>
          <w:rFonts w:hint="eastAsia"/>
        </w:rPr>
        <w:t>年」が</w:t>
      </w:r>
      <w:r w:rsidR="00B939BB">
        <w:rPr>
          <w:rFonts w:hint="eastAsia"/>
        </w:rPr>
        <w:t>10.4</w:t>
      </w:r>
      <w:r>
        <w:rPr>
          <w:rFonts w:hint="eastAsia"/>
        </w:rPr>
        <w:t>％となっている。</w:t>
      </w:r>
    </w:p>
    <w:p w:rsidR="00B939BB" w:rsidRDefault="00377683">
      <w:r>
        <w:rPr>
          <w:noProof/>
        </w:rPr>
        <w:drawing>
          <wp:inline distT="0" distB="0" distL="0" distR="0">
            <wp:extent cx="5324475" cy="3324225"/>
            <wp:effectExtent l="0" t="0" r="0" b="0"/>
            <wp:docPr id="3" name="オブジェクト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DC8" w:rsidRDefault="006E3DC8">
      <w:pPr>
        <w:rPr>
          <w:rFonts w:hint="eastAsia"/>
        </w:rPr>
      </w:pP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t>④　転入歴</w:t>
      </w:r>
    </w:p>
    <w:p w:rsidR="006E3DC8" w:rsidRDefault="006E3DC8">
      <w:r>
        <w:rPr>
          <w:rFonts w:hint="eastAsia"/>
        </w:rPr>
        <w:t>「生まれてからずっと住んでいる」が</w:t>
      </w:r>
      <w:r>
        <w:t>2</w:t>
      </w:r>
      <w:r w:rsidR="00B939BB">
        <w:rPr>
          <w:rFonts w:hint="eastAsia"/>
        </w:rPr>
        <w:t>1.</w:t>
      </w:r>
      <w:r w:rsidR="00605CF9">
        <w:rPr>
          <w:rFonts w:hint="eastAsia"/>
        </w:rPr>
        <w:t>2</w:t>
      </w:r>
      <w:r>
        <w:rPr>
          <w:rFonts w:hint="eastAsia"/>
        </w:rPr>
        <w:t>％、「転入してきた」が</w:t>
      </w:r>
      <w:r>
        <w:t>7</w:t>
      </w:r>
      <w:r w:rsidR="00B939BB">
        <w:rPr>
          <w:rFonts w:hint="eastAsia"/>
        </w:rPr>
        <w:t>6.3</w:t>
      </w:r>
      <w:r>
        <w:rPr>
          <w:rFonts w:hint="eastAsia"/>
        </w:rPr>
        <w:t>％となっている。</w:t>
      </w:r>
    </w:p>
    <w:p w:rsidR="006E3DC8" w:rsidRDefault="00377683">
      <w:pPr>
        <w:rPr>
          <w:rFonts w:hint="eastAsia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38750" cy="3248025"/>
            <wp:effectExtent l="0" t="0" r="0" b="0"/>
            <wp:docPr id="4" name="オブジェクト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DC8" w:rsidRDefault="006E3DC8">
      <w:pPr>
        <w:rPr>
          <w:b/>
          <w:bCs/>
        </w:rPr>
      </w:pPr>
      <w:r>
        <w:rPr>
          <w:rFonts w:hint="eastAsia"/>
          <w:b/>
          <w:bCs/>
        </w:rPr>
        <w:lastRenderedPageBreak/>
        <w:t>⑤　居住地</w:t>
      </w:r>
    </w:p>
    <w:p w:rsidR="006E3DC8" w:rsidRDefault="006E3DC8">
      <w:r>
        <w:rPr>
          <w:rFonts w:hint="eastAsia"/>
        </w:rPr>
        <w:t>「草津」が最も多く</w:t>
      </w:r>
      <w:r>
        <w:t>1</w:t>
      </w:r>
      <w:r w:rsidR="00B939BB">
        <w:rPr>
          <w:rFonts w:hint="eastAsia"/>
        </w:rPr>
        <w:t>5.0</w:t>
      </w:r>
      <w:r>
        <w:rPr>
          <w:rFonts w:hint="eastAsia"/>
        </w:rPr>
        <w:t>％、次いで「老上」が</w:t>
      </w:r>
      <w:r>
        <w:t>1</w:t>
      </w:r>
      <w:r w:rsidR="00B939BB">
        <w:rPr>
          <w:rFonts w:hint="eastAsia"/>
        </w:rPr>
        <w:t>1.8</w:t>
      </w:r>
      <w:r>
        <w:rPr>
          <w:rFonts w:hint="eastAsia"/>
        </w:rPr>
        <w:t>％、「笠縫」が</w:t>
      </w:r>
      <w:r w:rsidR="00B939BB">
        <w:rPr>
          <w:rFonts w:hint="eastAsia"/>
        </w:rPr>
        <w:t>9</w:t>
      </w:r>
      <w:r w:rsidR="00474D73">
        <w:rPr>
          <w:rFonts w:hint="eastAsia"/>
        </w:rPr>
        <w:t>.7</w:t>
      </w:r>
      <w:r>
        <w:rPr>
          <w:rFonts w:hint="eastAsia"/>
        </w:rPr>
        <w:t>％</w:t>
      </w:r>
      <w:r w:rsidR="00B939BB">
        <w:rPr>
          <w:rFonts w:hint="eastAsia"/>
        </w:rPr>
        <w:t>、「志津」が</w:t>
      </w:r>
      <w:r w:rsidR="00B939BB">
        <w:rPr>
          <w:rFonts w:hint="eastAsia"/>
        </w:rPr>
        <w:t>8.9</w:t>
      </w:r>
      <w:r w:rsidR="00B939BB">
        <w:rPr>
          <w:rFonts w:hint="eastAsia"/>
        </w:rPr>
        <w:t>％</w:t>
      </w:r>
      <w:r>
        <w:rPr>
          <w:rFonts w:hint="eastAsia"/>
        </w:rPr>
        <w:t>などとなっている。</w:t>
      </w:r>
    </w:p>
    <w:p w:rsidR="006E3DC8" w:rsidRDefault="0037768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476875" cy="3543300"/>
            <wp:effectExtent l="0" t="0" r="0" b="0"/>
            <wp:docPr id="5" name="オブジェクト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p w:rsidR="006E3DC8" w:rsidRDefault="006E3DC8"/>
    <w:sectPr w:rsidR="006E3DC8">
      <w:footerReference w:type="even" r:id="rId11"/>
      <w:footerReference w:type="default" r:id="rId12"/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12" w:rsidRDefault="00E14D12">
      <w:r>
        <w:separator/>
      </w:r>
    </w:p>
  </w:endnote>
  <w:endnote w:type="continuationSeparator" w:id="1">
    <w:p w:rsidR="00E14D12" w:rsidRDefault="00E1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5A" w:rsidRDefault="000970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705A" w:rsidRDefault="000970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5A" w:rsidRDefault="000970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7683">
      <w:rPr>
        <w:rStyle w:val="a4"/>
        <w:noProof/>
      </w:rPr>
      <w:t>3</w:t>
    </w:r>
    <w:r>
      <w:rPr>
        <w:rStyle w:val="a4"/>
      </w:rPr>
      <w:fldChar w:fldCharType="end"/>
    </w:r>
  </w:p>
  <w:p w:rsidR="0009705A" w:rsidRDefault="000970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12" w:rsidRDefault="00E14D12">
      <w:r>
        <w:separator/>
      </w:r>
    </w:p>
  </w:footnote>
  <w:footnote w:type="continuationSeparator" w:id="1">
    <w:p w:rsidR="00E14D12" w:rsidRDefault="00E14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BC"/>
    <w:rsid w:val="0009705A"/>
    <w:rsid w:val="00115B8A"/>
    <w:rsid w:val="00116659"/>
    <w:rsid w:val="002408C8"/>
    <w:rsid w:val="00260D89"/>
    <w:rsid w:val="002A7318"/>
    <w:rsid w:val="00377683"/>
    <w:rsid w:val="00474D73"/>
    <w:rsid w:val="00605CF9"/>
    <w:rsid w:val="0065447F"/>
    <w:rsid w:val="006E3DC8"/>
    <w:rsid w:val="007259BC"/>
    <w:rsid w:val="00B15162"/>
    <w:rsid w:val="00B939BB"/>
    <w:rsid w:val="00D4008F"/>
    <w:rsid w:val="00E14D12"/>
    <w:rsid w:val="00E41A1C"/>
    <w:rsid w:val="00F1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725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59B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6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__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title>
      <c:tx>
        <c:rich>
          <a:bodyPr/>
          <a:lstStyle/>
          <a:p>
            <a:pPr>
              <a:defRPr sz="3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06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性　別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0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979166666666666"/>
          <c:y val="2.0202020202020207E-2"/>
        </c:manualLayout>
      </c:layout>
      <c:spPr>
        <a:noFill/>
        <a:ln w="14004">
          <a:noFill/>
        </a:ln>
      </c:spPr>
    </c:title>
    <c:plotArea>
      <c:layout>
        <c:manualLayout>
          <c:layoutTarget val="inner"/>
          <c:xMode val="edge"/>
          <c:yMode val="edge"/>
          <c:x val="7.1874999999999994E-2"/>
          <c:y val="0.17845117845117844"/>
          <c:w val="0.90312499999999996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00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37687423447069124"/>
                  <c:y val="-1.4590347923681057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41142825896762908"/>
                  <c:y val="-2.5813692480359473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2.7638451443569554E-2"/>
                  <c:y val="-3.7037037037037307E-3"/>
                </c:manualLayout>
              </c:layout>
              <c:dLblPos val="ctr"/>
              <c:showVal val="1"/>
            </c:dLbl>
            <c:spPr>
              <a:noFill/>
              <a:ln w="14004">
                <a:noFill/>
              </a:ln>
            </c:spPr>
            <c:txPr>
              <a:bodyPr/>
              <a:lstStyle/>
              <a:p>
                <a:pPr algn="r">
                  <a:defRPr sz="60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'問1～3'!$A$4:$A$6</c:f>
              <c:strCache>
                <c:ptCount val="3"/>
                <c:pt idx="0">
                  <c:v>男性</c:v>
                </c:pt>
                <c:pt idx="1">
                  <c:v>女性</c:v>
                </c:pt>
                <c:pt idx="2">
                  <c:v>無回答</c:v>
                </c:pt>
              </c:strCache>
            </c:strRef>
          </c:cat>
          <c:val>
            <c:numRef>
              <c:f>'問1～3'!$B$4:$B$6</c:f>
              <c:numCache>
                <c:formatCode>0.0%</c:formatCode>
                <c:ptCount val="3"/>
                <c:pt idx="0">
                  <c:v>0.47246696035242303</c:v>
                </c:pt>
                <c:pt idx="1">
                  <c:v>0.51651982378854622</c:v>
                </c:pt>
                <c:pt idx="2">
                  <c:v>1.1013215859030839E-2</c:v>
                </c:pt>
              </c:numCache>
            </c:numRef>
          </c:val>
        </c:ser>
        <c:dLbls>
          <c:showVal val="1"/>
        </c:dLbls>
        <c:overlap val="100"/>
        <c:axId val="134860160"/>
        <c:axId val="134947968"/>
      </c:barChart>
      <c:catAx>
        <c:axId val="134860160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4947968"/>
        <c:crosses val="autoZero"/>
        <c:auto val="1"/>
        <c:lblAlgn val="ctr"/>
        <c:lblOffset val="100"/>
        <c:tickLblSkip val="1"/>
        <c:tickMarkSkip val="1"/>
      </c:catAx>
      <c:valAx>
        <c:axId val="134947968"/>
        <c:scaling>
          <c:orientation val="minMax"/>
        </c:scaling>
        <c:axPos val="t"/>
        <c:majorGridlines>
          <c:spPr>
            <a:ln w="175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4860160"/>
        <c:crosses val="autoZero"/>
        <c:crossBetween val="between"/>
        <c:majorUnit val="0.2"/>
      </c:valAx>
      <c:spPr>
        <a:solidFill>
          <a:srgbClr val="FFFFFF"/>
        </a:solidFill>
        <a:ln w="7002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title>
      <c:tx>
        <c:rich>
          <a:bodyPr/>
          <a:lstStyle/>
          <a:p>
            <a:pPr>
              <a:defRPr sz="3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06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年　齢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06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979166666666666"/>
          <c:y val="2.0202020202020207E-2"/>
        </c:manualLayout>
      </c:layout>
      <c:spPr>
        <a:noFill/>
        <a:ln w="14004">
          <a:noFill/>
        </a:ln>
      </c:spPr>
    </c:title>
    <c:plotArea>
      <c:layout>
        <c:manualLayout>
          <c:layoutTarget val="inner"/>
          <c:xMode val="edge"/>
          <c:yMode val="edge"/>
          <c:x val="8.9583333333333348E-2"/>
          <c:y val="0.17845117845117844"/>
          <c:w val="0.88541666666666641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00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712478127734032E-2"/>
                  <c:y val="-1.6462083653684687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14666043307086621"/>
                  <c:y val="-1.4590347923681057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.26353969816272965"/>
                  <c:y val="-1.2720379649513145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.32495669291338586"/>
                  <c:y val="5.9846054596709921E-4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26471445756780398"/>
                  <c:y val="-8.9786756453421473E-4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.43670866141732284"/>
                  <c:y val="-7.1087073711742228E-4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.29494564741907264"/>
                  <c:y val="-5.2387390970062961E-4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.11937510936132988"/>
                  <c:y val="-2.0202020202019989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10962390638670171"/>
                  <c:y val="-1.8332051927852065E-3"/>
                </c:manualLayout>
              </c:layout>
              <c:dLblPos val="ctr"/>
              <c:showVal val="1"/>
            </c:dLbl>
            <c:spPr>
              <a:noFill/>
              <a:ln w="14004">
                <a:noFill/>
              </a:ln>
            </c:spPr>
            <c:txPr>
              <a:bodyPr/>
              <a:lstStyle/>
              <a:p>
                <a:pPr algn="r">
                  <a:defRPr sz="606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'問1～3'!$A$9:$A$17</c:f>
              <c:strCache>
                <c:ptCount val="9"/>
                <c:pt idx="0">
                  <c:v>20歳未満</c:v>
                </c:pt>
                <c:pt idx="1">
                  <c:v>20～29歳</c:v>
                </c:pt>
                <c:pt idx="2">
                  <c:v>30～39歳</c:v>
                </c:pt>
                <c:pt idx="3">
                  <c:v>40～49歳</c:v>
                </c:pt>
                <c:pt idx="4">
                  <c:v>50～59歳</c:v>
                </c:pt>
                <c:pt idx="5">
                  <c:v>60～69歳</c:v>
                </c:pt>
                <c:pt idx="6">
                  <c:v>70～79歳</c:v>
                </c:pt>
                <c:pt idx="7">
                  <c:v>80歳以上</c:v>
                </c:pt>
                <c:pt idx="8">
                  <c:v>無回答</c:v>
                </c:pt>
              </c:strCache>
            </c:strRef>
          </c:cat>
          <c:val>
            <c:numRef>
              <c:f>'問1～3'!$B$9:$B$17</c:f>
              <c:numCache>
                <c:formatCode>0.0%</c:formatCode>
                <c:ptCount val="9"/>
                <c:pt idx="0">
                  <c:v>9.9118942731277575E-3</c:v>
                </c:pt>
                <c:pt idx="1">
                  <c:v>7.1585903083700442E-2</c:v>
                </c:pt>
                <c:pt idx="2">
                  <c:v>0.13656387665198239</c:v>
                </c:pt>
                <c:pt idx="3">
                  <c:v>0.170704845814978</c:v>
                </c:pt>
                <c:pt idx="4">
                  <c:v>0.13766519823788545</c:v>
                </c:pt>
                <c:pt idx="5">
                  <c:v>0.23348017621145375</c:v>
                </c:pt>
                <c:pt idx="6">
                  <c:v>0.14647577092511013</c:v>
                </c:pt>
                <c:pt idx="7">
                  <c:v>4.4052863436123364E-2</c:v>
                </c:pt>
                <c:pt idx="8">
                  <c:v>4.9000000000000009E-2</c:v>
                </c:pt>
              </c:numCache>
            </c:numRef>
          </c:val>
        </c:ser>
        <c:dLbls>
          <c:showVal val="1"/>
        </c:dLbls>
        <c:overlap val="100"/>
        <c:axId val="134822144"/>
        <c:axId val="134828032"/>
      </c:barChart>
      <c:catAx>
        <c:axId val="134822144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4828032"/>
        <c:crosses val="autoZero"/>
        <c:auto val="1"/>
        <c:lblAlgn val="ctr"/>
        <c:lblOffset val="100"/>
        <c:tickLblSkip val="1"/>
        <c:tickMarkSkip val="1"/>
      </c:catAx>
      <c:valAx>
        <c:axId val="134828032"/>
        <c:scaling>
          <c:orientation val="minMax"/>
          <c:max val="0.25"/>
          <c:min val="0"/>
        </c:scaling>
        <c:axPos val="t"/>
        <c:majorGridlines>
          <c:spPr>
            <a:ln w="175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7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4822144"/>
        <c:crosses val="autoZero"/>
        <c:crossBetween val="between"/>
        <c:majorUnit val="0.05"/>
        <c:minorUnit val="1.0000000000000002E-2"/>
      </c:valAx>
      <c:spPr>
        <a:solidFill>
          <a:srgbClr val="FFFFFF"/>
        </a:solidFill>
        <a:ln w="7002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06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title>
      <c:tx>
        <c:rich>
          <a:bodyPr/>
          <a:lstStyle/>
          <a:p>
            <a:pPr>
              <a:defRPr sz="36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34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居住年数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6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34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354166666666674"/>
          <c:y val="2.0202020202020207E-2"/>
        </c:manualLayout>
      </c:layout>
      <c:spPr>
        <a:noFill/>
        <a:ln w="14638">
          <a:noFill/>
        </a:ln>
      </c:spPr>
    </c:title>
    <c:plotArea>
      <c:layout>
        <c:manualLayout>
          <c:layoutTarget val="inner"/>
          <c:xMode val="edge"/>
          <c:yMode val="edge"/>
          <c:x val="8.8541666666666713E-2"/>
          <c:y val="0.17845117845117844"/>
          <c:w val="0.88645833333333335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3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32759678477690291"/>
                  <c:y val="-4.3037549599228824E-4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22765496500437452"/>
                  <c:y val="-4.545542918246325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.2908241469816274"/>
                  <c:y val="1.4402997605097499E-3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.22465923009623809"/>
                  <c:y val="-2.6750444073278565E-3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18753926071741039"/>
                  <c:y val="-5.6205095575189068E-5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.20160564304461942"/>
                  <c:y val="-4.1713725178292261E-3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.33267585301837271"/>
                  <c:y val="1.3079173184160346E-4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.25070855205599296"/>
                  <c:y val="-2.3008740069107576E-3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34166316710411204"/>
                  <c:y val="-1.3655363786597657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0.1004040901137358"/>
                  <c:y val="-2.1138771794939645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0.11342880577427825"/>
                  <c:y val="-2.8620412347445936E-3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6.7321631671041132E-2"/>
                  <c:y val="-2.4320192299198188E-4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8.1387904636920347E-2"/>
                  <c:y val="-2.6748676617443434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0.11043307086614175"/>
                  <c:y val="-1.7397067790768099E-3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8.4383748906386696E-2"/>
                  <c:y val="-2.4878708343275503E-3"/>
                </c:manualLayout>
              </c:layout>
              <c:dLblPos val="ctr"/>
              <c:showVal val="1"/>
            </c:dLbl>
            <c:dLbl>
              <c:idx val="15"/>
              <c:layout>
                <c:manualLayout>
                  <c:x val="5.1301181102362203E-2"/>
                  <c:y val="1.3096847742517282E-4"/>
                </c:manualLayout>
              </c:layout>
              <c:dLblPos val="ctr"/>
              <c:showVal val="1"/>
            </c:dLbl>
            <c:dLbl>
              <c:idx val="16"/>
              <c:layout>
                <c:manualLayout>
                  <c:x val="4.8305446194225721E-2"/>
                  <c:y val="-2.3008740069107576E-3"/>
                </c:manualLayout>
              </c:layout>
              <c:dLblPos val="ctr"/>
              <c:showVal val="1"/>
            </c:dLbl>
            <c:dLbl>
              <c:idx val="17"/>
              <c:layout>
                <c:manualLayout>
                  <c:x val="0.27076629483814518"/>
                  <c:y val="3.1796530484196539E-4"/>
                </c:manualLayout>
              </c:layout>
              <c:dLblPos val="ctr"/>
              <c:showVal val="1"/>
            </c:dLbl>
            <c:spPr>
              <a:noFill/>
              <a:ln w="14638">
                <a:noFill/>
              </a:ln>
            </c:spPr>
            <c:txPr>
              <a:bodyPr/>
              <a:lstStyle/>
              <a:p>
                <a:pPr algn="r">
                  <a:defRPr sz="634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'問1～3'!$A$20:$A$37</c:f>
              <c:strCache>
                <c:ptCount val="18"/>
                <c:pt idx="0">
                  <c:v>1-4年</c:v>
                </c:pt>
                <c:pt idx="1">
                  <c:v>5-9年</c:v>
                </c:pt>
                <c:pt idx="2">
                  <c:v>10-14年</c:v>
                </c:pt>
                <c:pt idx="3">
                  <c:v>15-19年</c:v>
                </c:pt>
                <c:pt idx="4">
                  <c:v>20-24年</c:v>
                </c:pt>
                <c:pt idx="5">
                  <c:v>25-29年</c:v>
                </c:pt>
                <c:pt idx="6">
                  <c:v>30-34年</c:v>
                </c:pt>
                <c:pt idx="7">
                  <c:v>35-39年</c:v>
                </c:pt>
                <c:pt idx="8">
                  <c:v>40-44年</c:v>
                </c:pt>
                <c:pt idx="9">
                  <c:v>45-49年</c:v>
                </c:pt>
                <c:pt idx="10">
                  <c:v>50-54年</c:v>
                </c:pt>
                <c:pt idx="11">
                  <c:v>55-59年</c:v>
                </c:pt>
                <c:pt idx="12">
                  <c:v>60-64年</c:v>
                </c:pt>
                <c:pt idx="13">
                  <c:v>65-69年</c:v>
                </c:pt>
                <c:pt idx="14">
                  <c:v>70-74年</c:v>
                </c:pt>
                <c:pt idx="15">
                  <c:v>75-79年</c:v>
                </c:pt>
                <c:pt idx="16">
                  <c:v>80年以上</c:v>
                </c:pt>
                <c:pt idx="17">
                  <c:v>無回答</c:v>
                </c:pt>
              </c:strCache>
            </c:strRef>
          </c:cat>
          <c:val>
            <c:numRef>
              <c:f>'問1～3'!$B$20:$B$37</c:f>
              <c:numCache>
                <c:formatCode>0.0%</c:formatCode>
                <c:ptCount val="18"/>
                <c:pt idx="0">
                  <c:v>0.10352422907488991</c:v>
                </c:pt>
                <c:pt idx="1">
                  <c:v>7.0484581497797377E-2</c:v>
                </c:pt>
                <c:pt idx="2">
                  <c:v>9.1409691629955936E-2</c:v>
                </c:pt>
                <c:pt idx="3">
                  <c:v>6.9383259911894285E-2</c:v>
                </c:pt>
                <c:pt idx="4">
                  <c:v>5.7268722466960353E-2</c:v>
                </c:pt>
                <c:pt idx="5">
                  <c:v>6.1674008810572688E-2</c:v>
                </c:pt>
                <c:pt idx="6">
                  <c:v>0.10462555066079297</c:v>
                </c:pt>
                <c:pt idx="7">
                  <c:v>7.8193832599118954E-2</c:v>
                </c:pt>
                <c:pt idx="8">
                  <c:v>0.10792951541850222</c:v>
                </c:pt>
                <c:pt idx="9">
                  <c:v>2.7533039647577095E-2</c:v>
                </c:pt>
                <c:pt idx="10">
                  <c:v>3.1938325991189426E-2</c:v>
                </c:pt>
                <c:pt idx="11">
                  <c:v>1.6519823788546259E-2</c:v>
                </c:pt>
                <c:pt idx="12">
                  <c:v>2.092511013215859E-2</c:v>
                </c:pt>
                <c:pt idx="13">
                  <c:v>3.0837004405286351E-2</c:v>
                </c:pt>
                <c:pt idx="14">
                  <c:v>2.2026431718061675E-2</c:v>
                </c:pt>
                <c:pt idx="15">
                  <c:v>1.1013215859030839E-2</c:v>
                </c:pt>
                <c:pt idx="16">
                  <c:v>9.9118942731277575E-3</c:v>
                </c:pt>
                <c:pt idx="17">
                  <c:v>8.4000000000000019E-2</c:v>
                </c:pt>
              </c:numCache>
            </c:numRef>
          </c:val>
        </c:ser>
        <c:dLbls>
          <c:showVal val="1"/>
        </c:dLbls>
        <c:overlap val="100"/>
        <c:axId val="128423040"/>
        <c:axId val="128424576"/>
      </c:barChart>
      <c:catAx>
        <c:axId val="128423040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424576"/>
        <c:crosses val="autoZero"/>
        <c:auto val="1"/>
        <c:lblAlgn val="ctr"/>
        <c:lblOffset val="100"/>
        <c:tickLblSkip val="1"/>
        <c:tickMarkSkip val="1"/>
      </c:catAx>
      <c:valAx>
        <c:axId val="128424576"/>
        <c:scaling>
          <c:orientation val="minMax"/>
          <c:max val="0.15000000000000002"/>
          <c:min val="0"/>
        </c:scaling>
        <c:axPos val="t"/>
        <c:majorGridlines>
          <c:spPr>
            <a:ln w="183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8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4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423040"/>
        <c:crosses val="autoZero"/>
        <c:crossBetween val="between"/>
        <c:majorUnit val="0.05"/>
        <c:minorUnit val="1.0000000000000002E-2"/>
      </c:valAx>
      <c:spPr>
        <a:solidFill>
          <a:srgbClr val="FFFFFF"/>
        </a:solidFill>
        <a:ln w="7319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34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ja-JP"/>
  <c:chart>
    <c:title>
      <c:tx>
        <c:rich>
          <a:bodyPr/>
          <a:lstStyle/>
          <a:p>
            <a:pPr>
              <a:defRPr sz="35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21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転入歴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5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21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979166666666666"/>
          <c:y val="2.0202020202020207E-2"/>
        </c:manualLayout>
      </c:layout>
      <c:spPr>
        <a:noFill/>
        <a:ln w="14340">
          <a:noFill/>
        </a:ln>
      </c:spPr>
    </c:title>
    <c:plotArea>
      <c:layout>
        <c:manualLayout>
          <c:layoutTarget val="inner"/>
          <c:xMode val="edge"/>
          <c:yMode val="edge"/>
          <c:x val="0.13645833333333338"/>
          <c:y val="0.17845117845117844"/>
          <c:w val="0.83854166666666663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1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1362177384076991"/>
                  <c:y val="-3.1425364758697824E-3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0.42100382764654415"/>
                  <c:y val="2.4691358024691379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3.30683508311461E-2"/>
                  <c:y val="-2.0202020202019989E-3"/>
                </c:manualLayout>
              </c:layout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Lbl>
              <c:idx val="5"/>
              <c:dLblPos val="ctr"/>
              <c:showVal val="1"/>
            </c:dLbl>
            <c:dLbl>
              <c:idx val="6"/>
              <c:dLblPos val="ctr"/>
              <c:showVal val="1"/>
            </c:dLbl>
            <c:dLbl>
              <c:idx val="7"/>
              <c:dLblPos val="ctr"/>
              <c:showVal val="1"/>
            </c:dLbl>
            <c:dLbl>
              <c:idx val="8"/>
              <c:dLblPos val="ctr"/>
              <c:showVal val="1"/>
            </c:dLbl>
            <c:dLbl>
              <c:idx val="9"/>
              <c:dLblPos val="ctr"/>
              <c:showVal val="1"/>
            </c:dLbl>
            <c:dLbl>
              <c:idx val="10"/>
              <c:dLblPos val="ctr"/>
              <c:showVal val="1"/>
            </c:dLbl>
            <c:dLbl>
              <c:idx val="11"/>
              <c:dLblPos val="ctr"/>
              <c:showVal val="1"/>
            </c:dLbl>
            <c:dLbl>
              <c:idx val="12"/>
              <c:dLblPos val="ctr"/>
              <c:showVal val="1"/>
            </c:dLbl>
            <c:dLbl>
              <c:idx val="13"/>
              <c:dLblPos val="ctr"/>
              <c:showVal val="1"/>
            </c:dLbl>
            <c:dLbl>
              <c:idx val="14"/>
              <c:dLblPos val="ctr"/>
              <c:showVal val="1"/>
            </c:dLbl>
            <c:dLbl>
              <c:idx val="15"/>
              <c:dLblPos val="ctr"/>
              <c:showVal val="1"/>
            </c:dLbl>
            <c:dLbl>
              <c:idx val="16"/>
              <c:dLblPos val="ctr"/>
              <c:showVal val="1"/>
            </c:dLbl>
            <c:dLbl>
              <c:idx val="17"/>
              <c:dLblPos val="ctr"/>
              <c:showVal val="1"/>
            </c:dLbl>
            <c:spPr>
              <a:noFill/>
              <a:ln w="14340">
                <a:noFill/>
              </a:ln>
            </c:spPr>
            <c:txPr>
              <a:bodyPr/>
              <a:lstStyle/>
              <a:p>
                <a:pPr algn="r">
                  <a:defRPr sz="621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'問1～3'!$D$4:$D$6</c:f>
              <c:strCache>
                <c:ptCount val="3"/>
                <c:pt idx="0">
                  <c:v>生まれてから
ずっと住んでいる</c:v>
                </c:pt>
                <c:pt idx="1">
                  <c:v>転入してきた</c:v>
                </c:pt>
                <c:pt idx="2">
                  <c:v>無回答</c:v>
                </c:pt>
              </c:strCache>
            </c:strRef>
          </c:cat>
          <c:val>
            <c:numRef>
              <c:f>'問1～3'!$E$4:$E$6</c:f>
              <c:numCache>
                <c:formatCode>0.0%</c:formatCode>
                <c:ptCount val="3"/>
                <c:pt idx="0">
                  <c:v>0.21200000000000002</c:v>
                </c:pt>
                <c:pt idx="1">
                  <c:v>0.76321585903083711</c:v>
                </c:pt>
                <c:pt idx="2">
                  <c:v>2.5330396475770935E-2</c:v>
                </c:pt>
              </c:numCache>
            </c:numRef>
          </c:val>
        </c:ser>
        <c:dLbls>
          <c:showVal val="1"/>
        </c:dLbls>
        <c:overlap val="100"/>
        <c:axId val="130973696"/>
        <c:axId val="130975232"/>
      </c:barChart>
      <c:catAx>
        <c:axId val="130973696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7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0975232"/>
        <c:crosses val="autoZero"/>
        <c:auto val="1"/>
        <c:lblAlgn val="ctr"/>
        <c:lblOffset val="100"/>
        <c:tickLblSkip val="1"/>
        <c:tickMarkSkip val="1"/>
      </c:catAx>
      <c:valAx>
        <c:axId val="130975232"/>
        <c:scaling>
          <c:orientation val="minMax"/>
          <c:max val="0.8"/>
          <c:min val="0"/>
        </c:scaling>
        <c:axPos val="t"/>
        <c:majorGridlines>
          <c:spPr>
            <a:ln w="1793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79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21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0973696"/>
        <c:crosses val="autoZero"/>
        <c:crossBetween val="between"/>
        <c:majorUnit val="0.2"/>
        <c:minorUnit val="1.0000000000000002E-2"/>
      </c:valAx>
      <c:spPr>
        <a:solidFill>
          <a:srgbClr val="FFFFFF"/>
        </a:solidFill>
        <a:ln w="7170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21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title>
      <c:tx>
        <c:rich>
          <a:bodyPr/>
          <a:lstStyle/>
          <a:p>
            <a:pPr>
              <a:defRPr sz="38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 sz="652" b="1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居住地</a:t>
            </a:r>
            <a:endParaRPr lang="ja-JP" altLang="en-US" sz="1100" b="0" i="0" strike="noStrike">
              <a:solidFill>
                <a:srgbClr val="000000"/>
              </a:solidFill>
              <a:latin typeface="ＭＳ Ｐゴシック"/>
              <a:ea typeface="ＭＳ Ｐゴシック"/>
            </a:endParaRPr>
          </a:p>
          <a:p>
            <a:pPr>
              <a:defRPr sz="386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en-US" altLang="ja-JP" sz="652" b="0" i="0" strike="noStrike">
                <a:solidFill>
                  <a:srgbClr val="000000"/>
                </a:solidFill>
                <a:latin typeface="ＭＳ Ｐゴシック"/>
                <a:ea typeface="ＭＳ Ｐゴシック"/>
              </a:rPr>
              <a:t>(N=908)</a:t>
            </a:r>
          </a:p>
        </c:rich>
      </c:tx>
      <c:layout>
        <c:manualLayout>
          <c:xMode val="edge"/>
          <c:yMode val="edge"/>
          <c:x val="0.46979166666666666"/>
          <c:y val="2.0202020202020207E-2"/>
        </c:manualLayout>
      </c:layout>
      <c:spPr>
        <a:noFill/>
        <a:ln w="15057">
          <a:noFill/>
        </a:ln>
      </c:spPr>
    </c:title>
    <c:plotArea>
      <c:layout>
        <c:manualLayout>
          <c:layoutTarget val="inner"/>
          <c:xMode val="edge"/>
          <c:yMode val="edge"/>
          <c:x val="7.1874999999999994E-2"/>
          <c:y val="0.17845117845117844"/>
          <c:w val="0.90312499999999996"/>
          <c:h val="0.80471380471380471"/>
        </c:manualLayout>
      </c:layout>
      <c:barChart>
        <c:barDir val="bar"/>
        <c:grouping val="stacked"/>
        <c:ser>
          <c:idx val="0"/>
          <c:order val="0"/>
          <c:spPr>
            <a:solidFill>
              <a:srgbClr val="C0C0C0"/>
            </a:solidFill>
            <a:ln w="752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.29133508311461087"/>
                  <c:y val="6.7340067340069458E-4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8.0415901137357845E-2"/>
                  <c:y val="-1.2345679012345722E-3"/>
                </c:manualLayout>
              </c:layout>
              <c:dLblPos val="ctr"/>
              <c:showVal val="1"/>
            </c:dLbl>
            <c:dLbl>
              <c:idx val="2"/>
              <c:layout>
                <c:manualLayout>
                  <c:x val="0.42530544619422578"/>
                  <c:y val="-4.0179573512906817E-2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0.20774475065616801"/>
                  <c:y val="-1.6835016835016967E-3"/>
                </c:manualLayout>
              </c:layout>
              <c:dLblPos val="ctr"/>
              <c:showVal val="1"/>
            </c:dLbl>
            <c:dLbl>
              <c:idx val="4"/>
              <c:layout>
                <c:manualLayout>
                  <c:x val="0.21446511373578311"/>
                  <c:y val="1.4590347923681204E-3"/>
                </c:manualLayout>
              </c:layout>
              <c:dLblPos val="ctr"/>
              <c:showVal val="1"/>
            </c:dLbl>
            <c:dLbl>
              <c:idx val="5"/>
              <c:layout>
                <c:manualLayout>
                  <c:x val="0.28253138670166233"/>
                  <c:y val="-2.1324354657687654E-3"/>
                </c:manualLayout>
              </c:layout>
              <c:dLblPos val="ctr"/>
              <c:showVal val="1"/>
            </c:dLbl>
            <c:dLbl>
              <c:idx val="6"/>
              <c:layout>
                <c:manualLayout>
                  <c:x val="0.38186975065616791"/>
                  <c:y val="1.0101010101010515E-3"/>
                </c:manualLayout>
              </c:layout>
              <c:dLblPos val="ctr"/>
              <c:showVal val="1"/>
            </c:dLbl>
            <c:dLbl>
              <c:idx val="7"/>
              <c:layout>
                <c:manualLayout>
                  <c:x val="0.25592979002624683"/>
                  <c:y val="7.8563411896751705E-4"/>
                </c:manualLayout>
              </c:layout>
              <c:dLblPos val="ctr"/>
              <c:showVal val="1"/>
            </c:dLbl>
            <c:dLbl>
              <c:idx val="8"/>
              <c:layout>
                <c:manualLayout>
                  <c:x val="0.18105369641294841"/>
                  <c:y val="-1.1223344556677494E-3"/>
                </c:manualLayout>
              </c:layout>
              <c:dLblPos val="ctr"/>
              <c:showVal val="1"/>
            </c:dLbl>
            <c:dLbl>
              <c:idx val="9"/>
              <c:layout>
                <c:manualLayout>
                  <c:x val="0.21569717847769032"/>
                  <c:y val="-3.0303030303030156E-3"/>
                </c:manualLayout>
              </c:layout>
              <c:dLblPos val="ctr"/>
              <c:showVal val="1"/>
            </c:dLbl>
            <c:dLbl>
              <c:idx val="10"/>
              <c:layout>
                <c:manualLayout>
                  <c:x val="0.33271030183727052"/>
                  <c:y val="1.1223344556680197E-4"/>
                </c:manualLayout>
              </c:layout>
              <c:dLblPos val="ctr"/>
              <c:showVal val="1"/>
            </c:dLbl>
            <c:dLbl>
              <c:idx val="11"/>
              <c:layout>
                <c:manualLayout>
                  <c:x val="0.22620330271216105"/>
                  <c:y val="-1.7957351290684646E-3"/>
                </c:manualLayout>
              </c:layout>
              <c:dLblPos val="ctr"/>
              <c:showVal val="1"/>
            </c:dLbl>
            <c:dLbl>
              <c:idx val="12"/>
              <c:layout>
                <c:manualLayout>
                  <c:x val="0.14346423884514448"/>
                  <c:y val="1.3468013468013532E-3"/>
                </c:manualLayout>
              </c:layout>
              <c:dLblPos val="ctr"/>
              <c:showVal val="1"/>
            </c:dLbl>
            <c:dLbl>
              <c:idx val="13"/>
              <c:layout>
                <c:manualLayout>
                  <c:x val="3.2421259842519687E-2"/>
                  <c:y val="-5.611672278339132E-4"/>
                </c:manualLayout>
              </c:layout>
              <c:dLblPos val="ctr"/>
              <c:showVal val="1"/>
            </c:dLbl>
            <c:dLbl>
              <c:idx val="14"/>
              <c:layout>
                <c:manualLayout>
                  <c:x val="7.5397965879265103E-2"/>
                  <c:y val="-7.8563411896744799E-4"/>
                </c:manualLayout>
              </c:layout>
              <c:dLblPos val="ctr"/>
              <c:showVal val="1"/>
            </c:dLbl>
            <c:dLbl>
              <c:idx val="15"/>
              <c:dLblPos val="ctr"/>
              <c:showVal val="1"/>
            </c:dLbl>
            <c:dLbl>
              <c:idx val="16"/>
              <c:dLblPos val="ctr"/>
              <c:showVal val="1"/>
            </c:dLbl>
            <c:dLbl>
              <c:idx val="17"/>
              <c:dLblPos val="ctr"/>
              <c:showVal val="1"/>
            </c:dLbl>
            <c:spPr>
              <a:noFill/>
              <a:ln w="15057">
                <a:noFill/>
              </a:ln>
            </c:spPr>
            <c:txPr>
              <a:bodyPr/>
              <a:lstStyle/>
              <a:p>
                <a:pPr algn="r">
                  <a:defRPr sz="65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endParaRPr lang="ja-JP"/>
              </a:p>
            </c:txPr>
            <c:showVal val="1"/>
          </c:dLbls>
          <c:cat>
            <c:strRef>
              <c:f>'問1～3'!$D$9:$D$23</c:f>
              <c:strCache>
                <c:ptCount val="15"/>
                <c:pt idx="0">
                  <c:v>志津</c:v>
                </c:pt>
                <c:pt idx="1">
                  <c:v>志津南</c:v>
                </c:pt>
                <c:pt idx="2">
                  <c:v>草津</c:v>
                </c:pt>
                <c:pt idx="3">
                  <c:v>大路</c:v>
                </c:pt>
                <c:pt idx="4">
                  <c:v>渋川</c:v>
                </c:pt>
                <c:pt idx="5">
                  <c:v>矢倉</c:v>
                </c:pt>
                <c:pt idx="6">
                  <c:v>老上</c:v>
                </c:pt>
                <c:pt idx="7">
                  <c:v>玉川</c:v>
                </c:pt>
                <c:pt idx="8">
                  <c:v>南笠東</c:v>
                </c:pt>
                <c:pt idx="9">
                  <c:v>山田</c:v>
                </c:pt>
                <c:pt idx="10">
                  <c:v>笠縫</c:v>
                </c:pt>
                <c:pt idx="11">
                  <c:v>笠縫東</c:v>
                </c:pt>
                <c:pt idx="12">
                  <c:v>常盤</c:v>
                </c:pt>
                <c:pt idx="13">
                  <c:v>不明</c:v>
                </c:pt>
                <c:pt idx="14">
                  <c:v>無回答</c:v>
                </c:pt>
              </c:strCache>
            </c:strRef>
          </c:cat>
          <c:val>
            <c:numRef>
              <c:f>'問1～3'!$E$9:$E$23</c:f>
              <c:numCache>
                <c:formatCode>0.0%</c:formatCode>
                <c:ptCount val="15"/>
                <c:pt idx="0">
                  <c:v>8.9207048458149807E-2</c:v>
                </c:pt>
                <c:pt idx="1">
                  <c:v>1.9823788546255515E-2</c:v>
                </c:pt>
                <c:pt idx="2">
                  <c:v>0.14977973568281941</c:v>
                </c:pt>
                <c:pt idx="3">
                  <c:v>6.0572687224669616E-2</c:v>
                </c:pt>
                <c:pt idx="4">
                  <c:v>6.3876651982378865E-2</c:v>
                </c:pt>
                <c:pt idx="5">
                  <c:v>8.5903083700440544E-2</c:v>
                </c:pt>
                <c:pt idx="6">
                  <c:v>0.11784140969162997</c:v>
                </c:pt>
                <c:pt idx="7">
                  <c:v>7.7092511013215889E-2</c:v>
                </c:pt>
                <c:pt idx="8">
                  <c:v>4.62555066079295E-2</c:v>
                </c:pt>
                <c:pt idx="9">
                  <c:v>6.2775330396475787E-2</c:v>
                </c:pt>
                <c:pt idx="10">
                  <c:v>9.6916299559471397E-2</c:v>
                </c:pt>
                <c:pt idx="11">
                  <c:v>6.8281938325991193E-2</c:v>
                </c:pt>
                <c:pt idx="12">
                  <c:v>4.0748898678414081E-2</c:v>
                </c:pt>
                <c:pt idx="13">
                  <c:v>2.2026431718061676E-3</c:v>
                </c:pt>
                <c:pt idx="14">
                  <c:v>1.8000000000000002E-2</c:v>
                </c:pt>
              </c:numCache>
            </c:numRef>
          </c:val>
        </c:ser>
        <c:dLbls>
          <c:showVal val="1"/>
        </c:dLbls>
        <c:overlap val="100"/>
        <c:axId val="128481536"/>
        <c:axId val="128483328"/>
      </c:barChart>
      <c:catAx>
        <c:axId val="128481536"/>
        <c:scaling>
          <c:orientation val="maxMin"/>
        </c:scaling>
        <c:axPos val="l"/>
        <c:numFmt formatCode="General" sourceLinked="1"/>
        <c:majorTickMark val="in"/>
        <c:tickLblPos val="nextTo"/>
        <c:spPr>
          <a:ln w="18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483328"/>
        <c:crosses val="autoZero"/>
        <c:auto val="1"/>
        <c:lblAlgn val="ctr"/>
        <c:lblOffset val="100"/>
        <c:tickLblSkip val="1"/>
        <c:tickMarkSkip val="1"/>
      </c:catAx>
      <c:valAx>
        <c:axId val="128483328"/>
        <c:scaling>
          <c:orientation val="minMax"/>
          <c:max val="0.15000000000000002"/>
          <c:min val="0"/>
        </c:scaling>
        <c:axPos val="t"/>
        <c:majorGridlines>
          <c:spPr>
            <a:ln w="1882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in"/>
        <c:tickLblPos val="nextTo"/>
        <c:spPr>
          <a:ln w="18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28481536"/>
        <c:crosses val="autoZero"/>
        <c:crossBetween val="between"/>
        <c:majorUnit val="5.000000000000001E-2"/>
        <c:minorUnit val="1.0000000000000002E-2"/>
      </c:valAx>
      <c:spPr>
        <a:solidFill>
          <a:srgbClr val="FFFFFF"/>
        </a:solidFill>
        <a:ln w="7528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652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回答者属性</vt:lpstr>
      <vt:lpstr>回答者属性</vt:lpstr>
    </vt:vector>
  </TitlesOfParts>
  <Company>comet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回答者属性</dc:title>
  <dc:subject/>
  <dc:creator>comet</dc:creator>
  <cp:keywords/>
  <cp:lastModifiedBy>あったか 太郎</cp:lastModifiedBy>
  <cp:revision>2</cp:revision>
  <cp:lastPrinted>2013-03-14T02:54:00Z</cp:lastPrinted>
  <dcterms:created xsi:type="dcterms:W3CDTF">2013-03-14T02:55:00Z</dcterms:created>
  <dcterms:modified xsi:type="dcterms:W3CDTF">2013-03-14T02:55:00Z</dcterms:modified>
</cp:coreProperties>
</file>